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4FBE" w14:textId="77777777" w:rsidR="00907FCD" w:rsidRPr="002C2745" w:rsidRDefault="00907FCD" w:rsidP="00907FCD">
      <w:pPr>
        <w:pStyle w:val="Heading1"/>
        <w:contextualSpacing w:val="0"/>
        <w:rPr>
          <w:rFonts w:ascii="Arial" w:hAnsi="Arial" w:cs="Arial"/>
        </w:rPr>
      </w:pPr>
      <w:r w:rsidRPr="002C2745">
        <w:rPr>
          <w:rFonts w:ascii="Arial" w:hAnsi="Arial" w:cs="Arial"/>
        </w:rPr>
        <w:t>Getting Started with the OAS CAHPS Survey</w:t>
      </w:r>
    </w:p>
    <w:p w14:paraId="1DA3E0DA" w14:textId="77777777" w:rsidR="00907FCD" w:rsidRPr="000D4DED" w:rsidRDefault="00907FCD" w:rsidP="00907FCD">
      <w:pPr>
        <w:pStyle w:val="BodyText"/>
        <w:spacing w:after="120"/>
        <w:rPr>
          <w:color w:val="000000" w:themeColor="text1"/>
        </w:rPr>
      </w:pPr>
      <w:r w:rsidRPr="000D4DED">
        <w:t xml:space="preserve">The Centers for Medicare &amp; Medicaid Services (CMS) </w:t>
      </w:r>
      <w:r>
        <w:rPr>
          <w:lang w:val="en-US"/>
        </w:rPr>
        <w:t>initiated</w:t>
      </w:r>
      <w:r w:rsidRPr="000D4DED">
        <w:t xml:space="preserve"> the national implementation phase of the</w:t>
      </w:r>
      <w:r w:rsidRPr="000D4DED">
        <w:rPr>
          <w:color w:val="000000" w:themeColor="text1"/>
        </w:rPr>
        <w:t xml:space="preserve"> Consumer Assessment of Healthcare Providers and Systems Outpatient and Ambulatory Surgery (OAS CAHPS</w:t>
      </w:r>
      <w:r w:rsidRPr="000D4DED">
        <w:rPr>
          <w:color w:val="000000" w:themeColor="text1"/>
          <w:vertAlign w:val="superscript"/>
        </w:rPr>
        <w:t>®</w:t>
      </w:r>
      <w:r w:rsidRPr="000D4DED">
        <w:rPr>
          <w:color w:val="000000" w:themeColor="text1"/>
        </w:rPr>
        <w:t>) Survey in January 2016. Below are highlights about national implementation:</w:t>
      </w:r>
    </w:p>
    <w:p w14:paraId="32F5C0D8" w14:textId="77777777" w:rsidR="00907FCD" w:rsidRDefault="00907FCD" w:rsidP="00907FCD">
      <w:pPr>
        <w:pStyle w:val="ListBullet"/>
        <w:ind w:left="792"/>
      </w:pPr>
      <w:r w:rsidRPr="000D4DED">
        <w:t xml:space="preserve">Medicare-certified hospitals outpatient departments </w:t>
      </w:r>
      <w:r>
        <w:t>(</w:t>
      </w:r>
      <w:r w:rsidRPr="000D4DED">
        <w:t>HOPDs) and ambulatory surgery centers (ASCs)</w:t>
      </w:r>
      <w:r>
        <w:t xml:space="preserve"> that meet the definitions provided below are eligible to participate</w:t>
      </w:r>
      <w:r w:rsidRPr="000D4DED">
        <w:t>.</w:t>
      </w:r>
    </w:p>
    <w:p w14:paraId="18F3FA69" w14:textId="77777777" w:rsidR="00907FCD" w:rsidRPr="000D4DED" w:rsidRDefault="00907FCD" w:rsidP="00907FCD">
      <w:pPr>
        <w:pStyle w:val="ListBullet"/>
        <w:ind w:left="792"/>
      </w:pPr>
      <w:r>
        <w:t>G</w:t>
      </w:r>
      <w:r w:rsidRPr="000D4DED">
        <w:t xml:space="preserve">uidelines for administration of the survey instrument </w:t>
      </w:r>
      <w:r>
        <w:t xml:space="preserve">are documented in the </w:t>
      </w:r>
      <w:r w:rsidRPr="009C29CE">
        <w:rPr>
          <w:i/>
        </w:rPr>
        <w:t>OAS CAHPS Survey Protocols and Guidelines Manual</w:t>
      </w:r>
      <w:r>
        <w:rPr>
          <w:i/>
        </w:rPr>
        <w:t>.</w:t>
      </w:r>
      <w:r>
        <w:t xml:space="preserve"> (</w:t>
      </w:r>
      <w:hyperlink r:id="rId7" w:history="1">
        <w:r>
          <w:rPr>
            <w:rStyle w:val="Hyperlink"/>
            <w:rFonts w:eastAsiaTheme="majorEastAsia"/>
          </w:rPr>
          <w:t>Survey Materials (oascahps.org)</w:t>
        </w:r>
      </w:hyperlink>
      <w:r>
        <w:t>)</w:t>
      </w:r>
    </w:p>
    <w:p w14:paraId="62DA3CC0" w14:textId="77777777" w:rsidR="00907FCD" w:rsidRDefault="00907FCD" w:rsidP="00907FCD">
      <w:pPr>
        <w:pStyle w:val="ListBullet"/>
        <w:ind w:left="792"/>
      </w:pPr>
      <w:r w:rsidRPr="000D4DED">
        <w:t>CMS-approved survey vendors administer the survey on behalf of HOPDs and ASCs and submit the data to the OAS CAHPS Data Center.</w:t>
      </w:r>
      <w:r>
        <w:t xml:space="preserve"> </w:t>
      </w:r>
      <w:hyperlink r:id="rId8" w:history="1">
        <w:r>
          <w:rPr>
            <w:rStyle w:val="Hyperlink"/>
            <w:rFonts w:eastAsiaTheme="majorEastAsia"/>
          </w:rPr>
          <w:t>Approved Survey Vendors (oascahps.org)</w:t>
        </w:r>
      </w:hyperlink>
      <w:r>
        <w:t>)</w:t>
      </w:r>
    </w:p>
    <w:p w14:paraId="69596AD6" w14:textId="7D1E36CD" w:rsidR="00907FCD" w:rsidRDefault="00907FCD" w:rsidP="00907FCD">
      <w:pPr>
        <w:pStyle w:val="ListBullet"/>
        <w:ind w:left="792"/>
      </w:pPr>
      <w:r w:rsidRPr="000D4DED">
        <w:t xml:space="preserve">Results </w:t>
      </w:r>
      <w:r>
        <w:t>are</w:t>
      </w:r>
      <w:r w:rsidRPr="000D4DED">
        <w:t xml:space="preserve"> publicly reported on CMS website</w:t>
      </w:r>
      <w:r>
        <w:t>s</w:t>
      </w:r>
      <w:r w:rsidRPr="00CF7A31">
        <w:t xml:space="preserve"> </w:t>
      </w:r>
      <w:r w:rsidRPr="000D4DED">
        <w:t>after four consecutive quarters of data are collected</w:t>
      </w:r>
      <w:r>
        <w:t xml:space="preserve">. Voluntary data are published on the </w:t>
      </w:r>
      <w:r w:rsidRPr="00163B97">
        <w:t>Provider Data Catalog</w:t>
      </w:r>
      <w:r>
        <w:t xml:space="preserve"> website (direct link: </w:t>
      </w:r>
      <w:hyperlink r:id="rId9" w:history="1">
        <w:r w:rsidRPr="005D78C4">
          <w:rPr>
            <w:rStyle w:val="Hyperlink"/>
            <w:rFonts w:eastAsiaTheme="majorEastAsia"/>
          </w:rPr>
          <w:t>https://data.cms.gov/provider-data/</w:t>
        </w:r>
      </w:hyperlink>
      <w:r>
        <w:t>).</w:t>
      </w:r>
      <w:r w:rsidRPr="000D4DED">
        <w:t xml:space="preserve"> </w:t>
      </w:r>
      <w:r>
        <w:t xml:space="preserve">Future reporting will be on the </w:t>
      </w:r>
      <w:r w:rsidRPr="00163B97">
        <w:t>Care Compare</w:t>
      </w:r>
      <w:r>
        <w:t xml:space="preserve"> website (</w:t>
      </w:r>
      <w:hyperlink r:id="rId10" w:history="1">
        <w:r w:rsidRPr="00163B97">
          <w:rPr>
            <w:rStyle w:val="Hyperlink"/>
            <w:rFonts w:eastAsiaTheme="majorEastAsia"/>
          </w:rPr>
          <w:t>https://www.medicare.gov/care-compare/</w:t>
        </w:r>
      </w:hyperlink>
      <w:r w:rsidRPr="00163B97">
        <w:t>)</w:t>
      </w:r>
      <w:r>
        <w:t>.</w:t>
      </w:r>
      <w:bookmarkStart w:id="0" w:name="_Hlk161314209"/>
    </w:p>
    <w:p w14:paraId="266492D3" w14:textId="196BF771" w:rsidR="00907FCD" w:rsidRDefault="00907FCD" w:rsidP="00907FCD">
      <w:pPr>
        <w:pStyle w:val="ListBullet"/>
        <w:ind w:left="792"/>
      </w:pPr>
      <w:r w:rsidRPr="000D4DED">
        <w:t xml:space="preserve">The </w:t>
      </w:r>
      <w:r w:rsidRPr="000D4DED">
        <w:rPr>
          <w:i/>
          <w:iCs/>
        </w:rPr>
        <w:t>target</w:t>
      </w:r>
      <w:r w:rsidRPr="000D4DED">
        <w:t xml:space="preserve"> minimum number of surveys for the OAS CAHPS </w:t>
      </w:r>
      <w:r w:rsidR="00933C7B">
        <w:t>S</w:t>
      </w:r>
      <w:r w:rsidRPr="000D4DED">
        <w:t>urvey is 300 completed surveys</w:t>
      </w:r>
      <w:r>
        <w:t xml:space="preserve"> for HOPDs and 200 completed surveys for ASCs</w:t>
      </w:r>
      <w:r w:rsidRPr="000D4DED">
        <w:t xml:space="preserve"> over each 12-month reporting period.</w:t>
      </w:r>
    </w:p>
    <w:bookmarkEnd w:id="0"/>
    <w:p w14:paraId="7B615E86" w14:textId="4A52D4DF" w:rsidR="00907FCD" w:rsidRDefault="00907FCD" w:rsidP="00907FCD">
      <w:pPr>
        <w:pStyle w:val="ListBullet"/>
        <w:ind w:left="792"/>
      </w:pPr>
      <w:r>
        <w:t>P</w:t>
      </w:r>
      <w:r w:rsidRPr="0081443B">
        <w:t xml:space="preserve">articipation in the OAS CAHPS Survey </w:t>
      </w:r>
      <w:r w:rsidR="00933C7B">
        <w:t>was</w:t>
      </w:r>
      <w:r w:rsidRPr="0081443B">
        <w:t xml:space="preserve"> linked to reimbursement beginning with CY 2024 for HOPDs and CY 2025 for ASCs. These plans were detailed in the</w:t>
      </w:r>
      <w:r>
        <w:t xml:space="preserve"> previous rulemaking in</w:t>
      </w:r>
      <w:r w:rsidRPr="0081443B">
        <w:t xml:space="preserve"> </w:t>
      </w:r>
      <w:r>
        <w:t xml:space="preserve">the </w:t>
      </w:r>
      <w:r w:rsidRPr="0081443B">
        <w:t xml:space="preserve">CY </w:t>
      </w:r>
      <w:r>
        <w:t xml:space="preserve">2017, CY 2018, and CY </w:t>
      </w:r>
      <w:r w:rsidRPr="0081443B">
        <w:t>2022 Final Rule</w:t>
      </w:r>
      <w:r>
        <w:t>s</w:t>
      </w:r>
      <w:r w:rsidRPr="0081443B">
        <w:t xml:space="preserve"> and reaffirmed in the </w:t>
      </w:r>
      <w:hyperlink r:id="rId11" w:history="1">
        <w:r w:rsidR="009D22CC">
          <w:rPr>
            <w:rStyle w:val="Hyperlink"/>
          </w:rPr>
          <w:t>CY2025 Final Rule</w:t>
        </w:r>
      </w:hyperlink>
      <w:r w:rsidR="009D22CC">
        <w:t xml:space="preserve"> </w:t>
      </w:r>
    </w:p>
    <w:p w14:paraId="61742B85" w14:textId="77777777" w:rsidR="00907FCD" w:rsidRDefault="00907FCD" w:rsidP="00907FCD">
      <w:pPr>
        <w:pStyle w:val="ListBullet"/>
        <w:numPr>
          <w:ilvl w:val="0"/>
          <w:numId w:val="0"/>
        </w:numPr>
        <w:spacing w:before="120"/>
        <w:ind w:left="792"/>
      </w:pPr>
      <w:r>
        <w:t xml:space="preserve">See </w:t>
      </w:r>
      <w:r w:rsidRPr="00996676">
        <w:rPr>
          <w:b/>
          <w:bCs/>
        </w:rPr>
        <w:t>Participation Exemptions Based on Patient Records</w:t>
      </w:r>
      <w:r>
        <w:t xml:space="preserve"> below for information about exemptions for HOPDs and ASCs based on number of eligible patients records per year.</w:t>
      </w:r>
    </w:p>
    <w:p w14:paraId="40B67C6F" w14:textId="77777777" w:rsidR="00907FCD" w:rsidRPr="002C2745" w:rsidRDefault="00907FCD" w:rsidP="00907FCD">
      <w:pPr>
        <w:pStyle w:val="Heading2"/>
        <w:rPr>
          <w:rFonts w:ascii="Arial" w:hAnsi="Arial" w:cs="Arial"/>
        </w:rPr>
      </w:pPr>
      <w:r w:rsidRPr="002C2745">
        <w:rPr>
          <w:rFonts w:ascii="Arial" w:hAnsi="Arial" w:cs="Arial"/>
        </w:rPr>
        <w:t>How to Participate</w:t>
      </w:r>
    </w:p>
    <w:p w14:paraId="33D0967A" w14:textId="4D5192DE" w:rsidR="00907FCD" w:rsidRDefault="00907FCD" w:rsidP="00907FCD">
      <w:pPr>
        <w:pStyle w:val="BodyText"/>
        <w:spacing w:after="120"/>
        <w:rPr>
          <w:lang w:val="en-US"/>
        </w:rPr>
      </w:pPr>
      <w:r w:rsidRPr="000D4DED">
        <w:t xml:space="preserve">To participate in the OAS CAHPS </w:t>
      </w:r>
      <w:r w:rsidR="00933C7B">
        <w:t>S</w:t>
      </w:r>
      <w:r w:rsidRPr="000D4DED">
        <w:t xml:space="preserve">urvey, with the intention of publicly reporting data, see the steps </w:t>
      </w:r>
      <w:r>
        <w:rPr>
          <w:lang w:val="en-US"/>
        </w:rPr>
        <w:t xml:space="preserve">provided in the “OAS CAHPS Participation Overview” document available in the Quick Links box on the Home page. </w:t>
      </w:r>
      <w:r w:rsidR="00BD706D">
        <w:fldChar w:fldCharType="begin"/>
      </w:r>
      <w:r w:rsidR="00BD706D">
        <w:instrText>HYPERLINK "https://oascahps.org/OAS_Part_Overview.pdf"</w:instrText>
      </w:r>
      <w:r w:rsidR="00BD706D">
        <w:fldChar w:fldCharType="separate"/>
      </w:r>
      <w:r w:rsidRPr="005517F9">
        <w:rPr>
          <w:rStyle w:val="Hyperlink"/>
          <w:rFonts w:eastAsiaTheme="majorEastAsia"/>
          <w:lang w:val="en-US"/>
        </w:rPr>
        <w:t>https://oascahps.org/OAS_Part_Overview.pdf</w:t>
      </w:r>
      <w:r w:rsidR="00BD706D">
        <w:rPr>
          <w:rStyle w:val="Hyperlink"/>
          <w:rFonts w:eastAsiaTheme="majorEastAsia"/>
          <w:lang w:val="en-US"/>
        </w:rPr>
        <w:fldChar w:fldCharType="end"/>
      </w:r>
      <w:r w:rsidRPr="00303F66">
        <w:rPr>
          <w:rStyle w:val="Hyperlink"/>
          <w:rFonts w:eastAsiaTheme="majorEastAsia"/>
          <w:lang w:val="en-US"/>
        </w:rPr>
        <w:t> </w:t>
      </w:r>
      <w:r w:rsidRPr="00303F66">
        <w:rPr>
          <w:noProof/>
          <w:lang w:val="en-US"/>
        </w:rPr>
        <w:drawing>
          <wp:inline distT="0" distB="0" distL="0" distR="0" wp14:anchorId="64F5D1CD" wp14:editId="457E9C62">
            <wp:extent cx="95250" cy="95250"/>
            <wp:effectExtent l="0" t="0" r="0" b="0"/>
            <wp:docPr id="3" name="Graphic 3" descr="Exi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tico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5250" cy="95250"/>
                    </a:xfrm>
                    <a:prstGeom prst="rect">
                      <a:avLst/>
                    </a:prstGeom>
                  </pic:spPr>
                </pic:pic>
              </a:graphicData>
            </a:graphic>
          </wp:inline>
        </w:drawing>
      </w:r>
      <w:r>
        <w:rPr>
          <w:lang w:val="en-US"/>
        </w:rPr>
        <w:t xml:space="preserve"> </w:t>
      </w:r>
    </w:p>
    <w:p w14:paraId="64298C3A" w14:textId="77777777" w:rsidR="00907FCD" w:rsidRPr="00556497" w:rsidRDefault="00907FCD" w:rsidP="00907FCD">
      <w:pPr>
        <w:pStyle w:val="Heading2"/>
        <w:rPr>
          <w:rFonts w:ascii="Arial" w:hAnsi="Arial" w:cs="Arial"/>
        </w:rPr>
      </w:pPr>
      <w:r w:rsidRPr="00556497">
        <w:rPr>
          <w:rFonts w:ascii="Arial" w:hAnsi="Arial" w:cs="Arial"/>
        </w:rPr>
        <w:t>Benefits to Participating</w:t>
      </w:r>
    </w:p>
    <w:p w14:paraId="28F578F8" w14:textId="768DDC97" w:rsidR="00907FCD" w:rsidRPr="000D4DED" w:rsidRDefault="00907FCD" w:rsidP="00907FCD">
      <w:pPr>
        <w:pStyle w:val="ListBullet"/>
        <w:spacing w:after="0"/>
        <w:ind w:left="792"/>
      </w:pPr>
      <w:r w:rsidRPr="000D4DED">
        <w:t>Participating HOPDs and ASCs</w:t>
      </w:r>
      <w:r w:rsidR="00933C7B">
        <w:t xml:space="preserve"> results</w:t>
      </w:r>
      <w:r w:rsidRPr="000D4DED">
        <w:t xml:space="preserve"> provide valuable information to consumers and stakeholders about the quality of outpatient care provided at their facility. The survey findings can be used by HOPDs, ASCs</w:t>
      </w:r>
      <w:r>
        <w:t>,</w:t>
      </w:r>
      <w:r w:rsidRPr="000D4DED">
        <w:t xml:space="preserve"> and other stakeholders for internal quality improvement and benchmarking efforts</w:t>
      </w:r>
      <w:r>
        <w:t>.</w:t>
      </w:r>
    </w:p>
    <w:p w14:paraId="6C2E8B25" w14:textId="0880A749" w:rsidR="00907FCD" w:rsidRPr="000D4DED" w:rsidRDefault="00907FCD" w:rsidP="00907FCD">
      <w:pPr>
        <w:pStyle w:val="ListBullet"/>
        <w:spacing w:after="0"/>
        <w:ind w:left="792"/>
      </w:pPr>
      <w:r w:rsidRPr="000D4DED">
        <w:t xml:space="preserve">HOPDs and ASCs can compare performance against their state and the national average. Results and links to these datasets </w:t>
      </w:r>
      <w:r w:rsidR="00933C7B">
        <w:t>are</w:t>
      </w:r>
      <w:r w:rsidRPr="000D4DED">
        <w:t xml:space="preserve"> available for download on CMS</w:t>
      </w:r>
      <w:r>
        <w:t>’</w:t>
      </w:r>
      <w:r w:rsidRPr="000D4DED">
        <w:t xml:space="preserve"> website.</w:t>
      </w:r>
    </w:p>
    <w:p w14:paraId="509D0E77" w14:textId="77777777" w:rsidR="00907FCD" w:rsidRDefault="00907FCD" w:rsidP="00907FCD">
      <w:pPr>
        <w:pStyle w:val="ListBullet"/>
        <w:spacing w:after="0"/>
        <w:ind w:left="792"/>
      </w:pPr>
      <w:r w:rsidRPr="000D4DED">
        <w:t>HOPDs and ASCs may add supplementa</w:t>
      </w:r>
      <w:r>
        <w:t>l</w:t>
      </w:r>
      <w:r w:rsidRPr="000D4DED">
        <w:t xml:space="preserve"> questions to the survey </w:t>
      </w:r>
      <w:r>
        <w:t xml:space="preserve">for </w:t>
      </w:r>
      <w:r w:rsidRPr="000D4DED">
        <w:t>their</w:t>
      </w:r>
      <w:r>
        <w:t xml:space="preserve"> own</w:t>
      </w:r>
      <w:r w:rsidRPr="000D4DED">
        <w:t xml:space="preserve"> patient experience of care </w:t>
      </w:r>
      <w:r>
        <w:t>metrics</w:t>
      </w:r>
      <w:r w:rsidRPr="000D4DED">
        <w:t>; however</w:t>
      </w:r>
      <w:r>
        <w:t>,</w:t>
      </w:r>
      <w:r w:rsidRPr="000D4DED">
        <w:t xml:space="preserve"> </w:t>
      </w:r>
      <w:r>
        <w:t>they</w:t>
      </w:r>
      <w:r w:rsidRPr="000D4DED">
        <w:t xml:space="preserve"> may not change the wording</w:t>
      </w:r>
      <w:r>
        <w:t xml:space="preserve"> or order</w:t>
      </w:r>
      <w:r w:rsidRPr="000D4DED">
        <w:t xml:space="preserve"> of the OAS CAHPS </w:t>
      </w:r>
      <w:r>
        <w:t>S</w:t>
      </w:r>
      <w:r w:rsidRPr="000D4DED">
        <w:t>urvey questions</w:t>
      </w:r>
      <w:r>
        <w:t xml:space="preserve"> or response options</w:t>
      </w:r>
      <w:r w:rsidRPr="000D4DED">
        <w:t>.</w:t>
      </w:r>
    </w:p>
    <w:p w14:paraId="3440C72B" w14:textId="77777777" w:rsidR="00907FCD" w:rsidRDefault="00907FCD" w:rsidP="00907FCD">
      <w:pPr>
        <w:pStyle w:val="ListBullet"/>
        <w:spacing w:after="0"/>
        <w:ind w:left="792"/>
      </w:pPr>
      <w:r w:rsidRPr="000D4DED">
        <w:t xml:space="preserve">The OAS CAHPS </w:t>
      </w:r>
      <w:r>
        <w:t>S</w:t>
      </w:r>
      <w:r w:rsidRPr="000D4DED">
        <w:t>urvey may be used to meet state or other regulations that require a patient satisfaction survey to be conducted regularly. Check with your state or accreditation bodies</w:t>
      </w:r>
      <w:r>
        <w:t xml:space="preserve"> on such regulations</w:t>
      </w:r>
      <w:r w:rsidRPr="000D4DED">
        <w:t>.</w:t>
      </w:r>
    </w:p>
    <w:p w14:paraId="305B641B" w14:textId="77777777" w:rsidR="00006378" w:rsidRDefault="00006378" w:rsidP="00006378">
      <w:pPr>
        <w:pStyle w:val="ListBullet"/>
        <w:numPr>
          <w:ilvl w:val="0"/>
          <w:numId w:val="0"/>
        </w:numPr>
        <w:spacing w:after="0"/>
        <w:ind w:left="9720" w:hanging="360"/>
      </w:pPr>
    </w:p>
    <w:p w14:paraId="7D301A3E" w14:textId="77777777" w:rsidR="00006378" w:rsidRDefault="00006378" w:rsidP="00006378">
      <w:pPr>
        <w:pStyle w:val="ListBullet"/>
        <w:numPr>
          <w:ilvl w:val="0"/>
          <w:numId w:val="0"/>
        </w:numPr>
        <w:spacing w:after="0"/>
        <w:ind w:left="9720" w:hanging="360"/>
      </w:pPr>
    </w:p>
    <w:p w14:paraId="752B5DA1" w14:textId="77777777" w:rsidR="00006378" w:rsidRPr="00D47775" w:rsidRDefault="00006378" w:rsidP="00006378">
      <w:pPr>
        <w:pStyle w:val="ListBullet"/>
        <w:numPr>
          <w:ilvl w:val="0"/>
          <w:numId w:val="0"/>
        </w:numPr>
        <w:spacing w:after="0"/>
        <w:ind w:left="9720" w:hanging="360"/>
      </w:pPr>
    </w:p>
    <w:p w14:paraId="34259197" w14:textId="77777777" w:rsidR="00907FCD" w:rsidRPr="00F01224" w:rsidRDefault="00907FCD" w:rsidP="00907FCD">
      <w:pPr>
        <w:pStyle w:val="Heading4"/>
        <w:spacing w:before="240" w:after="120"/>
        <w:rPr>
          <w:rFonts w:ascii="Arial" w:hAnsi="Arial" w:cs="Arial"/>
          <w:i w:val="0"/>
          <w:iCs w:val="0"/>
        </w:rPr>
      </w:pPr>
      <w:r w:rsidRPr="001F7FA1">
        <w:rPr>
          <w:rFonts w:ascii="Arial" w:hAnsi="Arial" w:cs="Arial"/>
          <w:b/>
          <w:bCs/>
          <w:color w:val="000000" w:themeColor="text1"/>
        </w:rPr>
        <w:lastRenderedPageBreak/>
        <w:t>Facility-Level</w:t>
      </w:r>
      <w:r>
        <w:rPr>
          <w:rFonts w:ascii="Arial" w:hAnsi="Arial" w:cs="Arial"/>
          <w:b/>
          <w:bCs/>
          <w:color w:val="000000" w:themeColor="text1"/>
        </w:rPr>
        <w:t xml:space="preserve"> </w:t>
      </w:r>
      <w:r w:rsidRPr="00D47775">
        <w:rPr>
          <w:rFonts w:ascii="Arial" w:hAnsi="Arial" w:cs="Arial"/>
          <w:b/>
          <w:bCs/>
          <w:color w:val="000000" w:themeColor="text1"/>
        </w:rPr>
        <w:t xml:space="preserve">Eligibility </w:t>
      </w:r>
      <w:r w:rsidRPr="001F7FA1">
        <w:rPr>
          <w:rFonts w:ascii="Arial" w:hAnsi="Arial" w:cs="Arial"/>
          <w:b/>
          <w:bCs/>
          <w:color w:val="000000" w:themeColor="text1"/>
        </w:rPr>
        <w:t>for OAS CAHPS</w:t>
      </w:r>
    </w:p>
    <w:p w14:paraId="204F26F3" w14:textId="77777777" w:rsidR="00907FCD" w:rsidRDefault="00907FCD" w:rsidP="00907FCD">
      <w:pPr>
        <w:spacing w:before="120" w:after="120"/>
        <w:rPr>
          <w:rFonts w:ascii="Times New Roman" w:hAnsi="Times New Roman" w:cs="Times New Roman"/>
          <w:bCs/>
        </w:rPr>
      </w:pPr>
      <w:r w:rsidRPr="003031FB">
        <w:rPr>
          <w:rFonts w:ascii="Times New Roman" w:hAnsi="Times New Roman" w:cs="Times New Roman"/>
          <w:bCs/>
        </w:rPr>
        <w:t>Eligibility requirements for OAS CAHPS are based first on facility-level criteria and second on patient-level criteria. The eligibility criteria for HOPDs and ASCs are listed below.</w:t>
      </w:r>
    </w:p>
    <w:p w14:paraId="1795EAA2" w14:textId="77777777" w:rsidR="00907FCD" w:rsidRDefault="00907FCD" w:rsidP="00907FCD">
      <w:pPr>
        <w:pStyle w:val="ListBullet"/>
        <w:numPr>
          <w:ilvl w:val="0"/>
          <w:numId w:val="0"/>
        </w:numPr>
      </w:pPr>
      <w:r w:rsidRPr="00996676">
        <w:rPr>
          <w:b/>
          <w:bCs/>
          <w:iCs/>
          <w:color w:val="000000" w:themeColor="text1"/>
        </w:rPr>
        <w:t>HOPD Eligibility.</w:t>
      </w:r>
      <w:r w:rsidRPr="001F7FA1">
        <w:rPr>
          <w:iCs/>
        </w:rPr>
        <w:t xml:space="preserve"> </w:t>
      </w:r>
      <w:r>
        <w:t xml:space="preserve">An </w:t>
      </w:r>
      <w:r w:rsidRPr="00996676">
        <w:rPr>
          <w:bCs/>
          <w:iCs/>
        </w:rPr>
        <w:t>HOPD</w:t>
      </w:r>
      <w:r>
        <w:t xml:space="preserve"> is an outpatient surgery department or specialized department of a hospital that performs outpatient surgeries and procedures. A hospital is eligible to participate in the OAS CAHPS Survey if it has an HOPD or any department that meets </w:t>
      </w:r>
      <w:proofErr w:type="gramStart"/>
      <w:r w:rsidRPr="00C37313">
        <w:rPr>
          <w:b/>
        </w:rPr>
        <w:t>all</w:t>
      </w:r>
      <w:r>
        <w:t xml:space="preserve"> of</w:t>
      </w:r>
      <w:proofErr w:type="gramEnd"/>
      <w:r>
        <w:t xml:space="preserve"> the following criteria:</w:t>
      </w:r>
    </w:p>
    <w:p w14:paraId="6D56FEB9" w14:textId="45EAAC5A" w:rsidR="00907FCD" w:rsidRDefault="00907FCD" w:rsidP="00907FCD">
      <w:pPr>
        <w:pStyle w:val="ListBullet"/>
        <w:ind w:left="792"/>
      </w:pPr>
      <w:r>
        <w:t>performs procedures that are within the OAS CAHPS–eligible range of CPT-4</w:t>
      </w:r>
      <w:r>
        <w:rPr>
          <w:rStyle w:val="FootnoteReference"/>
        </w:rPr>
        <w:footnoteReference w:id="1"/>
      </w:r>
      <w:r>
        <w:t xml:space="preserve"> Codes for Surgery (i.e., CPT codes between 10004 and 69990 and between 92920 and 93986) or one of the following G-codes: G0104, G0105, G0121, or </w:t>
      </w:r>
      <w:proofErr w:type="gramStart"/>
      <w:r>
        <w:t>G0260;</w:t>
      </w:r>
      <w:proofErr w:type="gramEnd"/>
    </w:p>
    <w:p w14:paraId="3D76F00D" w14:textId="77777777" w:rsidR="00907FCD" w:rsidRDefault="00907FCD" w:rsidP="00907FCD">
      <w:pPr>
        <w:pStyle w:val="ListBullet"/>
        <w:ind w:left="792"/>
      </w:pPr>
      <w:r>
        <w:t>is Medicare-certified, has a CCN,</w:t>
      </w:r>
      <w:r w:rsidRPr="003031FB">
        <w:t xml:space="preserve"> </w:t>
      </w:r>
      <w:r>
        <w:t>and has in effect an</w:t>
      </w:r>
      <w:r w:rsidRPr="00955B06">
        <w:t xml:space="preserve"> agreement with CMS </w:t>
      </w:r>
      <w:r>
        <w:t xml:space="preserve">obtained </w:t>
      </w:r>
      <w:r w:rsidRPr="00955B06">
        <w:t>in accordance with 42 CFR 419 subpart B</w:t>
      </w:r>
      <w:r>
        <w:t xml:space="preserve"> (G</w:t>
      </w:r>
      <w:r w:rsidRPr="00955B06">
        <w:t xml:space="preserve">eneral </w:t>
      </w:r>
      <w:r>
        <w:t>C</w:t>
      </w:r>
      <w:r w:rsidRPr="00955B06">
        <w:t xml:space="preserve">onditions and </w:t>
      </w:r>
      <w:r>
        <w:t>R</w:t>
      </w:r>
      <w:r w:rsidRPr="00955B06">
        <w:t>equirements</w:t>
      </w:r>
      <w:proofErr w:type="gramStart"/>
      <w:r>
        <w:t>);</w:t>
      </w:r>
      <w:proofErr w:type="gramEnd"/>
    </w:p>
    <w:p w14:paraId="16E3EB7B" w14:textId="77777777" w:rsidR="00907FCD" w:rsidRDefault="00907FCD" w:rsidP="00907FCD">
      <w:pPr>
        <w:pStyle w:val="ListBullet"/>
        <w:ind w:left="792"/>
      </w:pPr>
      <w:r>
        <w:t xml:space="preserve">bills under the Outpatient Payment Prospective System (OPPS) when billing to CMS; and </w:t>
      </w:r>
    </w:p>
    <w:p w14:paraId="40CD8F79" w14:textId="77777777" w:rsidR="00907FCD" w:rsidRDefault="00907FCD" w:rsidP="00907FCD">
      <w:pPr>
        <w:pStyle w:val="ListBullet"/>
        <w:spacing w:after="0"/>
        <w:ind w:left="792"/>
      </w:pPr>
      <w:r>
        <w:t>is eligible to participate in the Hospital Outpatient Quality Reporting (Hospital OQR) Program.</w:t>
      </w:r>
    </w:p>
    <w:p w14:paraId="3078BC11" w14:textId="69620685" w:rsidR="00A77D77" w:rsidRDefault="00907FCD" w:rsidP="00A77D77">
      <w:pPr>
        <w:pStyle w:val="ListBullet"/>
        <w:numPr>
          <w:ilvl w:val="0"/>
          <w:numId w:val="0"/>
        </w:numPr>
        <w:spacing w:after="0"/>
      </w:pPr>
      <w:r w:rsidRPr="003031FB">
        <w:rPr>
          <w:rFonts w:eastAsia="Batang"/>
          <w:noProof/>
          <w:sz w:val="24"/>
          <w:szCs w:val="20"/>
        </w:rPr>
        <mc:AlternateContent>
          <mc:Choice Requires="wps">
            <w:drawing>
              <wp:anchor distT="45720" distB="45720" distL="114300" distR="114300" simplePos="0" relativeHeight="251659264" behindDoc="0" locked="0" layoutInCell="1" allowOverlap="1" wp14:anchorId="25423F8F" wp14:editId="798D1043">
                <wp:simplePos x="0" y="0"/>
                <wp:positionH relativeFrom="margin">
                  <wp:posOffset>537845</wp:posOffset>
                </wp:positionH>
                <wp:positionV relativeFrom="paragraph">
                  <wp:posOffset>178435</wp:posOffset>
                </wp:positionV>
                <wp:extent cx="5454015" cy="1257300"/>
                <wp:effectExtent l="0" t="0" r="1333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1257300"/>
                        </a:xfrm>
                        <a:prstGeom prst="rect">
                          <a:avLst/>
                        </a:prstGeom>
                        <a:solidFill>
                          <a:srgbClr val="FFFFFF"/>
                        </a:solidFill>
                        <a:ln w="9525">
                          <a:solidFill>
                            <a:srgbClr val="000000"/>
                          </a:solidFill>
                          <a:miter lim="800000"/>
                          <a:headEnd/>
                          <a:tailEnd/>
                        </a:ln>
                      </wps:spPr>
                      <wps:txbx>
                        <w:txbxContent>
                          <w:p w14:paraId="0D523594" w14:textId="77777777" w:rsidR="00907FCD" w:rsidRPr="00E13FE6" w:rsidRDefault="00907FCD" w:rsidP="00907FCD">
                            <w:pPr>
                              <w:spacing w:after="0"/>
                              <w:rPr>
                                <w:rFonts w:ascii="Times New Roman" w:eastAsia="Times New Roman" w:hAnsi="Times New Roman" w:cs="Times New Roman"/>
                                <w:b/>
                                <w:bCs/>
                                <w:color w:val="000000" w:themeColor="text1"/>
                                <w:szCs w:val="24"/>
                              </w:rPr>
                            </w:pPr>
                            <w:r w:rsidRPr="00E13FE6">
                              <w:rPr>
                                <w:rFonts w:ascii="Times New Roman" w:eastAsia="Times New Roman" w:hAnsi="Times New Roman" w:cs="Times New Roman"/>
                                <w:b/>
                                <w:bCs/>
                                <w:color w:val="000000" w:themeColor="text1"/>
                                <w:szCs w:val="24"/>
                              </w:rPr>
                              <w:t>Clarification for Hospital Billing Forms</w:t>
                            </w:r>
                          </w:p>
                          <w:p w14:paraId="25DE2B29" w14:textId="77777777" w:rsidR="00907FCD" w:rsidRPr="00E13FE6" w:rsidRDefault="00907FCD" w:rsidP="00907FCD">
                            <w:pPr>
                              <w:spacing w:after="0"/>
                              <w:rPr>
                                <w:rFonts w:ascii="Times New Roman" w:eastAsia="Times New Roman" w:hAnsi="Times New Roman" w:cs="Times New Roman"/>
                                <w:color w:val="000000" w:themeColor="text1"/>
                              </w:rPr>
                            </w:pPr>
                            <w:r w:rsidRPr="00E13FE6">
                              <w:rPr>
                                <w:rFonts w:ascii="Times New Roman" w:eastAsia="Times New Roman" w:hAnsi="Times New Roman" w:cs="Times New Roman"/>
                                <w:color w:val="000000" w:themeColor="text1"/>
                              </w:rPr>
                              <w:t xml:space="preserve">The following claim forms are used to bill CMS </w:t>
                            </w:r>
                            <w:r w:rsidRPr="00E13FE6">
                              <w:rPr>
                                <w:rFonts w:ascii="Times New Roman" w:hAnsi="Times New Roman" w:cs="Times New Roman"/>
                              </w:rPr>
                              <w:t>for institutional charges</w:t>
                            </w:r>
                            <w:r w:rsidRPr="00E13FE6">
                              <w:rPr>
                                <w:rFonts w:ascii="Times New Roman" w:eastAsia="Times New Roman" w:hAnsi="Times New Roman" w:cs="Times New Roman"/>
                                <w:color w:val="000000" w:themeColor="text1"/>
                              </w:rPr>
                              <w:t xml:space="preserve"> under OPPS</w:t>
                            </w:r>
                            <w:r w:rsidRPr="00E13FE6">
                              <w:rPr>
                                <w:rFonts w:ascii="Times New Roman" w:hAnsi="Times New Roman" w:cs="Times New Roman"/>
                              </w:rPr>
                              <w:t xml:space="preserve">: </w:t>
                            </w:r>
                          </w:p>
                          <w:p w14:paraId="572A86CE" w14:textId="77777777" w:rsidR="00907FCD" w:rsidRPr="00E13FE6" w:rsidRDefault="00907FCD" w:rsidP="00907FCD">
                            <w:pPr>
                              <w:pStyle w:val="ListParagraph"/>
                              <w:numPr>
                                <w:ilvl w:val="0"/>
                                <w:numId w:val="3"/>
                              </w:numPr>
                              <w:ind w:left="576" w:hanging="288"/>
                              <w:rPr>
                                <w:rFonts w:eastAsia="Times New Roman"/>
                                <w:color w:val="000000" w:themeColor="text1"/>
                                <w:sz w:val="22"/>
                                <w:szCs w:val="22"/>
                              </w:rPr>
                            </w:pPr>
                            <w:r w:rsidRPr="00E13FE6">
                              <w:rPr>
                                <w:sz w:val="22"/>
                                <w:szCs w:val="22"/>
                              </w:rPr>
                              <w:t xml:space="preserve">CMS-1450 (formerly known as </w:t>
                            </w:r>
                            <w:r w:rsidRPr="00E13FE6">
                              <w:rPr>
                                <w:rFonts w:eastAsia="Times New Roman"/>
                                <w:color w:val="000000" w:themeColor="text1"/>
                                <w:sz w:val="22"/>
                                <w:szCs w:val="22"/>
                              </w:rPr>
                              <w:t>UB-04)</w:t>
                            </w:r>
                            <w:r w:rsidRPr="00E13FE6">
                              <w:rPr>
                                <w:sz w:val="22"/>
                                <w:szCs w:val="22"/>
                              </w:rPr>
                              <w:t xml:space="preserve"> </w:t>
                            </w:r>
                          </w:p>
                          <w:p w14:paraId="15826E8C" w14:textId="77777777" w:rsidR="00907FCD" w:rsidRPr="00E13FE6" w:rsidRDefault="00907FCD" w:rsidP="00907FCD">
                            <w:pPr>
                              <w:pStyle w:val="ListParagraph"/>
                              <w:numPr>
                                <w:ilvl w:val="0"/>
                                <w:numId w:val="3"/>
                              </w:numPr>
                              <w:spacing w:after="120"/>
                              <w:ind w:left="576" w:hanging="288"/>
                              <w:rPr>
                                <w:rFonts w:eastAsia="Times New Roman"/>
                                <w:color w:val="000000" w:themeColor="text1"/>
                                <w:sz w:val="22"/>
                                <w:szCs w:val="22"/>
                              </w:rPr>
                            </w:pPr>
                            <w:r w:rsidRPr="00E13FE6">
                              <w:rPr>
                                <w:sz w:val="22"/>
                                <w:szCs w:val="22"/>
                              </w:rPr>
                              <w:t>837I electronic form</w:t>
                            </w:r>
                            <w:r w:rsidRPr="00E13FE6">
                              <w:rPr>
                                <w:sz w:val="22"/>
                                <w:szCs w:val="22"/>
                                <w:highlight w:val="cyan"/>
                              </w:rPr>
                              <w:t xml:space="preserve"> </w:t>
                            </w:r>
                          </w:p>
                          <w:p w14:paraId="47D79EF1" w14:textId="77777777" w:rsidR="00907FCD" w:rsidRPr="00E13FE6" w:rsidRDefault="00907FCD" w:rsidP="00907FCD">
                            <w:pPr>
                              <w:spacing w:after="120"/>
                              <w:rPr>
                                <w:rFonts w:ascii="Times New Roman" w:hAnsi="Times New Roman" w:cs="Times New Roman"/>
                              </w:rPr>
                            </w:pPr>
                            <w:r w:rsidRPr="00E13FE6">
                              <w:rPr>
                                <w:rFonts w:ascii="Times New Roman" w:hAnsi="Times New Roman" w:cs="Times New Roman"/>
                              </w:rPr>
                              <w:t>Note: Billing with CMS-1500 claim form for the Physician Fee Schedule would not be eligible for OAS CAHPS hospital outpatient billing under OPPS.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23F8F" id="_x0000_t202" coordsize="21600,21600" o:spt="202" path="m,l,21600r21600,l21600,xe">
                <v:stroke joinstyle="miter"/>
                <v:path gradientshapeok="t" o:connecttype="rect"/>
              </v:shapetype>
              <v:shape id="_x0000_s1026" type="#_x0000_t202" style="position:absolute;margin-left:42.35pt;margin-top:14.05pt;width:429.45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">
                <v:textbox>
                  <w:txbxContent>
                    <w:p w14:paraId="0D523594" w14:textId="77777777" w:rsidR="00907FCD" w:rsidRPr="00E13FE6" w:rsidRDefault="00907FCD" w:rsidP="00907FCD">
                      <w:pPr>
                        <w:spacing w:after="0"/>
                        <w:rPr>
                          <w:rFonts w:ascii="Times New Roman" w:eastAsia="Times New Roman" w:hAnsi="Times New Roman" w:cs="Times New Roman"/>
                          <w:b/>
                          <w:bCs/>
                          <w:color w:val="000000" w:themeColor="text1"/>
                          <w:szCs w:val="24"/>
                        </w:rPr>
                      </w:pPr>
                      <w:r w:rsidRPr="00E13FE6">
                        <w:rPr>
                          <w:rFonts w:ascii="Times New Roman" w:eastAsia="Times New Roman" w:hAnsi="Times New Roman" w:cs="Times New Roman"/>
                          <w:b/>
                          <w:bCs/>
                          <w:color w:val="000000" w:themeColor="text1"/>
                          <w:szCs w:val="24"/>
                        </w:rPr>
                        <w:t>Clarification for Hospital Billing Forms</w:t>
                      </w:r>
                    </w:p>
                    <w:p w14:paraId="25DE2B29" w14:textId="77777777" w:rsidR="00907FCD" w:rsidRPr="00E13FE6" w:rsidRDefault="00907FCD" w:rsidP="00907FCD">
                      <w:pPr>
                        <w:spacing w:after="0"/>
                        <w:rPr>
                          <w:rFonts w:ascii="Times New Roman" w:eastAsia="Times New Roman" w:hAnsi="Times New Roman" w:cs="Times New Roman"/>
                          <w:color w:val="000000" w:themeColor="text1"/>
                        </w:rPr>
                      </w:pPr>
                      <w:r w:rsidRPr="00E13FE6">
                        <w:rPr>
                          <w:rFonts w:ascii="Times New Roman" w:eastAsia="Times New Roman" w:hAnsi="Times New Roman" w:cs="Times New Roman"/>
                          <w:color w:val="000000" w:themeColor="text1"/>
                        </w:rPr>
                        <w:t xml:space="preserve">The following claim forms are used to bill CMS </w:t>
                      </w:r>
                      <w:r w:rsidRPr="00E13FE6">
                        <w:rPr>
                          <w:rFonts w:ascii="Times New Roman" w:hAnsi="Times New Roman" w:cs="Times New Roman"/>
                        </w:rPr>
                        <w:t>for institutional charges</w:t>
                      </w:r>
                      <w:r w:rsidRPr="00E13FE6">
                        <w:rPr>
                          <w:rFonts w:ascii="Times New Roman" w:eastAsia="Times New Roman" w:hAnsi="Times New Roman" w:cs="Times New Roman"/>
                          <w:color w:val="000000" w:themeColor="text1"/>
                        </w:rPr>
                        <w:t xml:space="preserve"> under OPPS</w:t>
                      </w:r>
                      <w:r w:rsidRPr="00E13FE6">
                        <w:rPr>
                          <w:rFonts w:ascii="Times New Roman" w:hAnsi="Times New Roman" w:cs="Times New Roman"/>
                        </w:rPr>
                        <w:t xml:space="preserve">: </w:t>
                      </w:r>
                    </w:p>
                    <w:p w14:paraId="572A86CE" w14:textId="77777777" w:rsidR="00907FCD" w:rsidRPr="00E13FE6" w:rsidRDefault="00907FCD" w:rsidP="00907FCD">
                      <w:pPr>
                        <w:pStyle w:val="ListParagraph"/>
                        <w:numPr>
                          <w:ilvl w:val="0"/>
                          <w:numId w:val="3"/>
                        </w:numPr>
                        <w:ind w:left="576" w:hanging="288"/>
                        <w:rPr>
                          <w:rFonts w:eastAsia="Times New Roman"/>
                          <w:color w:val="000000" w:themeColor="text1"/>
                          <w:sz w:val="22"/>
                          <w:szCs w:val="22"/>
                        </w:rPr>
                      </w:pPr>
                      <w:r w:rsidRPr="00E13FE6">
                        <w:rPr>
                          <w:sz w:val="22"/>
                          <w:szCs w:val="22"/>
                        </w:rPr>
                        <w:t xml:space="preserve">CMS-1450 (formerly known as </w:t>
                      </w:r>
                      <w:r w:rsidRPr="00E13FE6">
                        <w:rPr>
                          <w:rFonts w:eastAsia="Times New Roman"/>
                          <w:color w:val="000000" w:themeColor="text1"/>
                          <w:sz w:val="22"/>
                          <w:szCs w:val="22"/>
                        </w:rPr>
                        <w:t>UB-04)</w:t>
                      </w:r>
                      <w:r w:rsidRPr="00E13FE6">
                        <w:rPr>
                          <w:sz w:val="22"/>
                          <w:szCs w:val="22"/>
                        </w:rPr>
                        <w:t xml:space="preserve"> </w:t>
                      </w:r>
                    </w:p>
                    <w:p w14:paraId="15826E8C" w14:textId="77777777" w:rsidR="00907FCD" w:rsidRPr="00E13FE6" w:rsidRDefault="00907FCD" w:rsidP="00907FCD">
                      <w:pPr>
                        <w:pStyle w:val="ListParagraph"/>
                        <w:numPr>
                          <w:ilvl w:val="0"/>
                          <w:numId w:val="3"/>
                        </w:numPr>
                        <w:spacing w:after="120"/>
                        <w:ind w:left="576" w:hanging="288"/>
                        <w:rPr>
                          <w:rFonts w:eastAsia="Times New Roman"/>
                          <w:color w:val="000000" w:themeColor="text1"/>
                          <w:sz w:val="22"/>
                          <w:szCs w:val="22"/>
                        </w:rPr>
                      </w:pPr>
                      <w:r w:rsidRPr="00E13FE6">
                        <w:rPr>
                          <w:sz w:val="22"/>
                          <w:szCs w:val="22"/>
                        </w:rPr>
                        <w:t>837I electronic form</w:t>
                      </w:r>
                      <w:r w:rsidRPr="00E13FE6">
                        <w:rPr>
                          <w:sz w:val="22"/>
                          <w:szCs w:val="22"/>
                          <w:highlight w:val="cyan"/>
                        </w:rPr>
                        <w:t xml:space="preserve"> </w:t>
                      </w:r>
                    </w:p>
                    <w:p w14:paraId="47D79EF1" w14:textId="77777777" w:rsidR="00907FCD" w:rsidRPr="00E13FE6" w:rsidRDefault="00907FCD" w:rsidP="00907FCD">
                      <w:pPr>
                        <w:spacing w:after="120"/>
                        <w:rPr>
                          <w:rFonts w:ascii="Times New Roman" w:hAnsi="Times New Roman" w:cs="Times New Roman"/>
                        </w:rPr>
                      </w:pPr>
                      <w:r w:rsidRPr="00E13FE6">
                        <w:rPr>
                          <w:rFonts w:ascii="Times New Roman" w:hAnsi="Times New Roman" w:cs="Times New Roman"/>
                        </w:rPr>
                        <w:t>Note: Billing with CMS-1500 claim form for the Physician Fee Schedule would not be eligible for OAS CAHPS hospital outpatient billing under OPPS.</w:t>
                      </w:r>
                    </w:p>
                  </w:txbxContent>
                </v:textbox>
                <w10:wrap type="square" anchorx="margin"/>
              </v:shape>
            </w:pict>
          </mc:Fallback>
        </mc:AlternateContent>
      </w:r>
    </w:p>
    <w:p w14:paraId="4FE6D38E" w14:textId="77777777" w:rsidR="00A77D77" w:rsidRDefault="00A77D77" w:rsidP="00A77D77">
      <w:pPr>
        <w:pStyle w:val="ListBullet"/>
        <w:numPr>
          <w:ilvl w:val="0"/>
          <w:numId w:val="0"/>
        </w:numPr>
        <w:spacing w:after="0"/>
      </w:pPr>
    </w:p>
    <w:p w14:paraId="5C404F33" w14:textId="77777777" w:rsidR="00A77D77" w:rsidRDefault="00A77D77" w:rsidP="00A77D77">
      <w:pPr>
        <w:pStyle w:val="ListBullet"/>
        <w:numPr>
          <w:ilvl w:val="0"/>
          <w:numId w:val="0"/>
        </w:numPr>
        <w:spacing w:after="0"/>
      </w:pPr>
    </w:p>
    <w:p w14:paraId="39410FB3" w14:textId="77777777" w:rsidR="00A77D77" w:rsidRDefault="00A77D77" w:rsidP="00A77D77">
      <w:pPr>
        <w:pStyle w:val="ListBullet"/>
        <w:numPr>
          <w:ilvl w:val="0"/>
          <w:numId w:val="0"/>
        </w:numPr>
        <w:spacing w:after="0"/>
      </w:pPr>
    </w:p>
    <w:p w14:paraId="03AF7E9F" w14:textId="77777777" w:rsidR="00A77D77" w:rsidRDefault="00A77D77" w:rsidP="00A77D77">
      <w:pPr>
        <w:pStyle w:val="ListBullet"/>
        <w:numPr>
          <w:ilvl w:val="0"/>
          <w:numId w:val="0"/>
        </w:numPr>
        <w:spacing w:after="0"/>
      </w:pPr>
    </w:p>
    <w:p w14:paraId="58E58340" w14:textId="77777777" w:rsidR="00A77D77" w:rsidRDefault="00A77D77" w:rsidP="00A77D77">
      <w:pPr>
        <w:pStyle w:val="ListBullet"/>
        <w:numPr>
          <w:ilvl w:val="0"/>
          <w:numId w:val="0"/>
        </w:numPr>
        <w:spacing w:after="0"/>
      </w:pPr>
    </w:p>
    <w:p w14:paraId="2BC360BB" w14:textId="77777777" w:rsidR="00A77D77" w:rsidRDefault="00A77D77" w:rsidP="00A77D77">
      <w:pPr>
        <w:pStyle w:val="ListBullet"/>
        <w:numPr>
          <w:ilvl w:val="0"/>
          <w:numId w:val="0"/>
        </w:numPr>
        <w:spacing w:after="0"/>
      </w:pPr>
    </w:p>
    <w:p w14:paraId="313689A7" w14:textId="77777777" w:rsidR="00A77D77" w:rsidRDefault="00A77D77" w:rsidP="00A77D77">
      <w:pPr>
        <w:pStyle w:val="ListBullet"/>
        <w:numPr>
          <w:ilvl w:val="0"/>
          <w:numId w:val="0"/>
        </w:numPr>
        <w:spacing w:after="0"/>
      </w:pPr>
    </w:p>
    <w:p w14:paraId="0043F066" w14:textId="77777777" w:rsidR="00A77D77" w:rsidRDefault="00A77D77" w:rsidP="00A77D77">
      <w:pPr>
        <w:pStyle w:val="ListBullet"/>
        <w:numPr>
          <w:ilvl w:val="0"/>
          <w:numId w:val="0"/>
        </w:numPr>
        <w:spacing w:after="0"/>
      </w:pPr>
    </w:p>
    <w:p w14:paraId="41666A2D" w14:textId="77777777" w:rsidR="00A77D77" w:rsidRDefault="00A77D77" w:rsidP="00A77D77">
      <w:pPr>
        <w:pStyle w:val="ListBullet"/>
        <w:numPr>
          <w:ilvl w:val="0"/>
          <w:numId w:val="0"/>
        </w:numPr>
        <w:spacing w:after="0"/>
      </w:pPr>
    </w:p>
    <w:p w14:paraId="7DD3A020" w14:textId="1030F652" w:rsidR="00907FCD" w:rsidRDefault="00907FCD" w:rsidP="00A77D77">
      <w:pPr>
        <w:pStyle w:val="ListBullet"/>
        <w:numPr>
          <w:ilvl w:val="0"/>
          <w:numId w:val="0"/>
        </w:numPr>
        <w:spacing w:after="0"/>
      </w:pPr>
      <w:r>
        <w:t xml:space="preserve">While facility-level eligibility for OAS CAHPS is based on how </w:t>
      </w:r>
      <w:r w:rsidRPr="00F915C6">
        <w:t>HOPDs</w:t>
      </w:r>
      <w:r>
        <w:t xml:space="preserve"> submit for payment to CMS, OAS CAHPS patient-level eligibility includes all payer types, not only CMS</w:t>
      </w:r>
      <w:r w:rsidRPr="00F915C6">
        <w:t>.</w:t>
      </w:r>
    </w:p>
    <w:p w14:paraId="3AB2EFA6" w14:textId="77777777" w:rsidR="00907FCD" w:rsidRPr="00F915C6" w:rsidRDefault="00907FCD" w:rsidP="00907FCD">
      <w:pPr>
        <w:pStyle w:val="BodyText"/>
        <w:spacing w:before="160" w:after="120"/>
        <w:rPr>
          <w:lang w:val="en-US"/>
        </w:rPr>
      </w:pPr>
      <w:bookmarkStart w:id="1" w:name="_Hlk147146277"/>
      <w:r>
        <w:rPr>
          <w:lang w:val="en-US"/>
        </w:rPr>
        <w:t>Note that all locations that bill under the hospital CCN hospital (both on and off campus) and are eligible based on the criteria above are expected to participate.</w:t>
      </w:r>
    </w:p>
    <w:bookmarkEnd w:id="1"/>
    <w:p w14:paraId="7DA08F3D" w14:textId="488726E4" w:rsidR="00907FCD" w:rsidRPr="00E13FE6" w:rsidRDefault="00907FCD" w:rsidP="00907FCD">
      <w:pPr>
        <w:pStyle w:val="BodyText"/>
        <w:spacing w:before="120" w:after="120"/>
        <w:rPr>
          <w:lang w:val="en-US"/>
        </w:rPr>
      </w:pPr>
      <w:r>
        <w:rPr>
          <w:lang w:val="en-US"/>
        </w:rPr>
        <w:t>Exceptions to participation requirements:</w:t>
      </w:r>
    </w:p>
    <w:p w14:paraId="13A4127F" w14:textId="77777777" w:rsidR="00907FCD" w:rsidRDefault="00907FCD" w:rsidP="00907FCD">
      <w:pPr>
        <w:pStyle w:val="ListBullet2"/>
        <w:spacing w:after="60"/>
        <w:ind w:left="720" w:hanging="360"/>
      </w:pPr>
      <w:r>
        <w:t xml:space="preserve">Critical access hospitals (CAHs) may choose to participate in OAS CAHPS even though CAHs do not bill under OPPS; participation for CAHs is voluntary. </w:t>
      </w:r>
    </w:p>
    <w:p w14:paraId="01AAC978" w14:textId="1F629428" w:rsidR="00907FCD" w:rsidRDefault="00907FCD" w:rsidP="00907FCD">
      <w:pPr>
        <w:pStyle w:val="ListBullet2"/>
        <w:spacing w:after="60"/>
        <w:ind w:left="720" w:hanging="360"/>
      </w:pPr>
      <w:r>
        <w:t>Psychiatric Hospitals (CCN range xx4000-</w:t>
      </w:r>
      <w:r w:rsidR="00147096">
        <w:t xml:space="preserve"> </w:t>
      </w:r>
      <w:r>
        <w:t>xx4499), Children’s Hospitals (CCN range xx3300-</w:t>
      </w:r>
      <w:r w:rsidR="00147096">
        <w:t xml:space="preserve"> </w:t>
      </w:r>
      <w:r>
        <w:t>xx3399), and Rehabilitation Hospitals (CCN range xx3025-</w:t>
      </w:r>
      <w:r w:rsidR="00147096">
        <w:t xml:space="preserve"> </w:t>
      </w:r>
      <w:r>
        <w:t>xx3299) are excluded from OAS CAHPS.</w:t>
      </w:r>
    </w:p>
    <w:p w14:paraId="18664504" w14:textId="77777777" w:rsidR="00907FCD" w:rsidRDefault="00907FCD" w:rsidP="00907FCD">
      <w:pPr>
        <w:pStyle w:val="ListBullet2"/>
        <w:spacing w:after="60"/>
        <w:ind w:left="720" w:hanging="360"/>
      </w:pPr>
      <w:r>
        <w:t xml:space="preserve">Emergency Departments are excluded from OAS CAHPS. </w:t>
      </w:r>
    </w:p>
    <w:p w14:paraId="26726ABE" w14:textId="1100AC4C" w:rsidR="00907FCD" w:rsidRDefault="00907FCD" w:rsidP="00907FCD">
      <w:pPr>
        <w:pStyle w:val="ListBullet2"/>
        <w:spacing w:after="60"/>
        <w:ind w:left="720" w:hanging="360"/>
      </w:pPr>
      <w:r>
        <w:t>Rural Emergency Hospitals (REHs) are excluded from OAS CAHPS.</w:t>
      </w:r>
    </w:p>
    <w:p w14:paraId="0E75CF05" w14:textId="03EBD345" w:rsidR="00907FCD" w:rsidRPr="00907FCD" w:rsidRDefault="00907FCD" w:rsidP="00907FCD">
      <w:pPr>
        <w:pStyle w:val="ListBullet2"/>
        <w:spacing w:after="60"/>
        <w:ind w:left="720" w:hanging="360"/>
        <w:rPr>
          <w:rFonts w:cs="Times New Roman"/>
        </w:rPr>
      </w:pPr>
      <w:r>
        <w:t>Hospitals located in U.S. Territories are excluded from OAS CAHPS</w:t>
      </w:r>
      <w:r w:rsidRPr="001F7FA1">
        <w:rPr>
          <w:rFonts w:cs="Times New Roman"/>
        </w:rPr>
        <w:t xml:space="preserve">. </w:t>
      </w:r>
      <w:r w:rsidRPr="00A77D77">
        <w:rPr>
          <w:rStyle w:val="cf01"/>
          <w:rFonts w:ascii="Times New Roman" w:hAnsi="Times New Roman" w:cs="Times New Roman"/>
          <w:sz w:val="22"/>
          <w:szCs w:val="22"/>
        </w:rPr>
        <w:t>(There are some exceptions to this exclusion</w:t>
      </w:r>
      <w:r>
        <w:rPr>
          <w:rStyle w:val="cf01"/>
          <w:rFonts w:ascii="Times New Roman" w:hAnsi="Times New Roman" w:cs="Times New Roman"/>
          <w:sz w:val="22"/>
          <w:szCs w:val="22"/>
        </w:rPr>
        <w:t>.</w:t>
      </w:r>
      <w:r w:rsidRPr="00A77D77">
        <w:rPr>
          <w:rStyle w:val="cf01"/>
          <w:rFonts w:ascii="Times New Roman" w:hAnsi="Times New Roman" w:cs="Times New Roman"/>
          <w:sz w:val="22"/>
          <w:szCs w:val="22"/>
        </w:rPr>
        <w:t>)</w:t>
      </w:r>
    </w:p>
    <w:p w14:paraId="5893BE0B" w14:textId="77777777" w:rsidR="00907FCD" w:rsidRDefault="00907FCD" w:rsidP="00907FCD">
      <w:pPr>
        <w:pStyle w:val="ListBullet"/>
        <w:numPr>
          <w:ilvl w:val="0"/>
          <w:numId w:val="0"/>
        </w:numPr>
        <w:spacing w:after="0"/>
        <w:ind w:left="720"/>
      </w:pPr>
    </w:p>
    <w:p w14:paraId="0FDE5CD8" w14:textId="77777777" w:rsidR="00E1272F" w:rsidRDefault="00E1272F" w:rsidP="00907FCD">
      <w:pPr>
        <w:pStyle w:val="ListBullet"/>
        <w:numPr>
          <w:ilvl w:val="0"/>
          <w:numId w:val="0"/>
        </w:numPr>
        <w:rPr>
          <w:b/>
          <w:bCs/>
          <w:iCs/>
          <w:color w:val="000000" w:themeColor="text1"/>
        </w:rPr>
      </w:pPr>
    </w:p>
    <w:p w14:paraId="718F5C71" w14:textId="77777777" w:rsidR="00E1272F" w:rsidRDefault="00E1272F" w:rsidP="00907FCD">
      <w:pPr>
        <w:pStyle w:val="ListBullet"/>
        <w:numPr>
          <w:ilvl w:val="0"/>
          <w:numId w:val="0"/>
        </w:numPr>
        <w:rPr>
          <w:b/>
          <w:bCs/>
          <w:iCs/>
          <w:color w:val="000000" w:themeColor="text1"/>
        </w:rPr>
      </w:pPr>
    </w:p>
    <w:p w14:paraId="08C976F0" w14:textId="77777777" w:rsidR="00E1272F" w:rsidRDefault="00E1272F" w:rsidP="00907FCD">
      <w:pPr>
        <w:pStyle w:val="ListBullet"/>
        <w:numPr>
          <w:ilvl w:val="0"/>
          <w:numId w:val="0"/>
        </w:numPr>
        <w:rPr>
          <w:b/>
          <w:bCs/>
          <w:iCs/>
          <w:color w:val="000000" w:themeColor="text1"/>
        </w:rPr>
      </w:pPr>
    </w:p>
    <w:p w14:paraId="36EE93EC" w14:textId="78DC6DDB" w:rsidR="00907FCD" w:rsidRDefault="00907FCD" w:rsidP="00907FCD">
      <w:pPr>
        <w:pStyle w:val="ListBullet"/>
        <w:numPr>
          <w:ilvl w:val="0"/>
          <w:numId w:val="0"/>
        </w:numPr>
      </w:pPr>
      <w:r w:rsidRPr="00996676">
        <w:rPr>
          <w:b/>
          <w:bCs/>
          <w:iCs/>
          <w:color w:val="000000" w:themeColor="text1"/>
        </w:rPr>
        <w:lastRenderedPageBreak/>
        <w:t>ASC Eligibility.</w:t>
      </w:r>
      <w:r w:rsidRPr="001F7FA1">
        <w:rPr>
          <w:iCs/>
        </w:rPr>
        <w:t xml:space="preserve"> </w:t>
      </w:r>
      <w:r w:rsidRPr="00C37313">
        <w:t xml:space="preserve">An </w:t>
      </w:r>
      <w:r w:rsidRPr="00996676">
        <w:rPr>
          <w:bCs/>
          <w:iCs/>
        </w:rPr>
        <w:t>ASC</w:t>
      </w:r>
      <w:r w:rsidRPr="000E2D49">
        <w:rPr>
          <w:bCs/>
          <w:iCs/>
        </w:rPr>
        <w:t xml:space="preserve"> </w:t>
      </w:r>
      <w:r w:rsidRPr="00C37313">
        <w:t xml:space="preserve">is a freestanding medical facility that performs outpatient surgeries and procedures. CMS specifically defines eligible ASCs as distinct entities that operate exclusively for the purpose of furnishing outpatient services to patients. An ASC is eligible to participate in the OAS CAHPS Survey if it meets </w:t>
      </w:r>
      <w:proofErr w:type="gramStart"/>
      <w:r w:rsidRPr="00C37313">
        <w:rPr>
          <w:b/>
        </w:rPr>
        <w:t>all</w:t>
      </w:r>
      <w:r w:rsidRPr="00C37313">
        <w:t xml:space="preserve"> of</w:t>
      </w:r>
      <w:proofErr w:type="gramEnd"/>
      <w:r w:rsidRPr="00C37313">
        <w:t xml:space="preserve"> the following criteria</w:t>
      </w:r>
      <w:r>
        <w:t xml:space="preserve">: </w:t>
      </w:r>
    </w:p>
    <w:p w14:paraId="79AD9C19" w14:textId="7A670EA1" w:rsidR="00907FCD" w:rsidRDefault="00907FCD" w:rsidP="00907FCD">
      <w:pPr>
        <w:pStyle w:val="ListBullet"/>
        <w:ind w:left="792"/>
      </w:pPr>
      <w:r>
        <w:t>performs procedures that are within the OAS CAHPS–eligible range of CPT-4</w:t>
      </w:r>
      <w:r w:rsidRPr="00996676">
        <w:rPr>
          <w:vertAlign w:val="superscript"/>
        </w:rPr>
        <w:footnoteReference w:id="2"/>
      </w:r>
      <w:r>
        <w:t xml:space="preserve"> Codes for Surgery (i.e., CPT codes between 10004 and 69990 and between 92920 and 93986) or G-codes: G0104, G0105, G0121, or </w:t>
      </w:r>
      <w:proofErr w:type="gramStart"/>
      <w:r>
        <w:t>G0260;</w:t>
      </w:r>
      <w:proofErr w:type="gramEnd"/>
    </w:p>
    <w:p w14:paraId="144A6358" w14:textId="77777777" w:rsidR="00907FCD" w:rsidRDefault="00907FCD" w:rsidP="00907FCD">
      <w:pPr>
        <w:pStyle w:val="ListBullet"/>
        <w:ind w:left="792"/>
      </w:pPr>
      <w:r>
        <w:t>is Medicare-certified, has a CCN,</w:t>
      </w:r>
      <w:r w:rsidRPr="002775D1">
        <w:t xml:space="preserve"> </w:t>
      </w:r>
      <w:r>
        <w:t xml:space="preserve">and </w:t>
      </w:r>
      <w:r w:rsidRPr="003C480D">
        <w:t>has</w:t>
      </w:r>
      <w:r>
        <w:t xml:space="preserve"> in effect</w:t>
      </w:r>
      <w:r w:rsidRPr="003C480D">
        <w:t xml:space="preserve"> an agreement with CMS </w:t>
      </w:r>
      <w:r>
        <w:t>obtained in</w:t>
      </w:r>
      <w:r w:rsidRPr="003C480D">
        <w:t xml:space="preserve"> accordance with 42 CFR 416 subpart B</w:t>
      </w:r>
      <w:r>
        <w:t xml:space="preserve"> (G</w:t>
      </w:r>
      <w:r w:rsidRPr="003C480D">
        <w:t xml:space="preserve">eneral </w:t>
      </w:r>
      <w:r>
        <w:t>Co</w:t>
      </w:r>
      <w:r w:rsidRPr="003C480D">
        <w:t xml:space="preserve">nditions and </w:t>
      </w:r>
      <w:r>
        <w:t>R</w:t>
      </w:r>
      <w:r w:rsidRPr="003C480D">
        <w:t>equirements</w:t>
      </w:r>
      <w:proofErr w:type="gramStart"/>
      <w:r>
        <w:t>);</w:t>
      </w:r>
      <w:proofErr w:type="gramEnd"/>
    </w:p>
    <w:p w14:paraId="04D1EEFB" w14:textId="77777777" w:rsidR="00907FCD" w:rsidRDefault="00907FCD" w:rsidP="00907FCD">
      <w:pPr>
        <w:pStyle w:val="ListBullet"/>
        <w:ind w:left="792"/>
      </w:pPr>
      <w:r>
        <w:t>bills under ASC Payment System</w:t>
      </w:r>
      <w:r w:rsidRPr="000456F5">
        <w:t xml:space="preserve"> </w:t>
      </w:r>
      <w:r>
        <w:t xml:space="preserve">when billing CMS; and </w:t>
      </w:r>
    </w:p>
    <w:p w14:paraId="04C9B5A8" w14:textId="77777777" w:rsidR="00907FCD" w:rsidRDefault="00907FCD" w:rsidP="00907FCD">
      <w:pPr>
        <w:pStyle w:val="ListBullet"/>
        <w:ind w:left="792"/>
      </w:pPr>
      <w:r>
        <w:t xml:space="preserve">is eligible to participate in the Ambulatory Surgical Center Quality Reporting (ASCQR) Program. </w:t>
      </w:r>
    </w:p>
    <w:p w14:paraId="494A906C" w14:textId="77777777" w:rsidR="00907FCD" w:rsidRDefault="00907FCD" w:rsidP="00907FCD">
      <w:pPr>
        <w:pStyle w:val="ListBullet"/>
        <w:numPr>
          <w:ilvl w:val="0"/>
          <w:numId w:val="0"/>
        </w:numPr>
        <w:ind w:left="792"/>
      </w:pPr>
      <w:r w:rsidRPr="00955B06">
        <w:rPr>
          <w:noProof/>
        </w:rPr>
        <mc:AlternateContent>
          <mc:Choice Requires="wps">
            <w:drawing>
              <wp:inline distT="0" distB="0" distL="0" distR="0" wp14:anchorId="33B5C6D6" wp14:editId="2F168F57">
                <wp:extent cx="5608896" cy="1076325"/>
                <wp:effectExtent l="0" t="0" r="1143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96" cy="1076325"/>
                        </a:xfrm>
                        <a:prstGeom prst="rect">
                          <a:avLst/>
                        </a:prstGeom>
                        <a:solidFill>
                          <a:srgbClr val="FFFFFF"/>
                        </a:solidFill>
                        <a:ln w="9525">
                          <a:solidFill>
                            <a:srgbClr val="000000"/>
                          </a:solidFill>
                          <a:miter lim="800000"/>
                          <a:headEnd/>
                          <a:tailEnd/>
                        </a:ln>
                      </wps:spPr>
                      <wps:txbx>
                        <w:txbxContent>
                          <w:p w14:paraId="38D44A45" w14:textId="77777777" w:rsidR="00907FCD" w:rsidRPr="000456F5" w:rsidRDefault="00907FCD" w:rsidP="002571A0">
                            <w:pPr>
                              <w:spacing w:after="120"/>
                              <w:rPr>
                                <w:rFonts w:ascii="Times New Roman" w:eastAsia="Times New Roman" w:hAnsi="Times New Roman" w:cs="Times New Roman"/>
                                <w:b/>
                                <w:bCs/>
                                <w:color w:val="000000" w:themeColor="text1"/>
                              </w:rPr>
                            </w:pPr>
                            <w:r w:rsidRPr="000456F5">
                              <w:rPr>
                                <w:rFonts w:ascii="Times New Roman" w:eastAsia="Times New Roman" w:hAnsi="Times New Roman" w:cs="Times New Roman"/>
                                <w:b/>
                                <w:bCs/>
                                <w:color w:val="000000" w:themeColor="text1"/>
                              </w:rPr>
                              <w:t>Clarification for ASC Billing Forms</w:t>
                            </w:r>
                          </w:p>
                          <w:p w14:paraId="433212AE" w14:textId="77777777" w:rsidR="00907FCD" w:rsidRPr="000456F5" w:rsidRDefault="00907FCD" w:rsidP="002571A0">
                            <w:pPr>
                              <w:spacing w:after="0" w:line="240" w:lineRule="auto"/>
                              <w:rPr>
                                <w:rFonts w:ascii="Times New Roman" w:eastAsia="Times New Roman" w:hAnsi="Times New Roman" w:cs="Times New Roman"/>
                                <w:color w:val="000000" w:themeColor="text1"/>
                              </w:rPr>
                            </w:pPr>
                            <w:r w:rsidRPr="000456F5">
                              <w:rPr>
                                <w:rFonts w:ascii="Times New Roman" w:eastAsia="Times New Roman" w:hAnsi="Times New Roman" w:cs="Times New Roman"/>
                                <w:color w:val="000000" w:themeColor="text1"/>
                              </w:rPr>
                              <w:t xml:space="preserve">The following claim forms are used to bill CMS </w:t>
                            </w:r>
                            <w:r w:rsidRPr="000456F5">
                              <w:rPr>
                                <w:rFonts w:ascii="Times New Roman" w:hAnsi="Times New Roman" w:cs="Times New Roman"/>
                              </w:rPr>
                              <w:t>for institutional charges</w:t>
                            </w:r>
                            <w:r w:rsidRPr="000456F5">
                              <w:rPr>
                                <w:rFonts w:ascii="Times New Roman" w:eastAsia="Times New Roman" w:hAnsi="Times New Roman" w:cs="Times New Roman"/>
                                <w:color w:val="000000" w:themeColor="text1"/>
                              </w:rPr>
                              <w:t xml:space="preserve"> under the ASC Payment System</w:t>
                            </w:r>
                            <w:r w:rsidRPr="000456F5">
                              <w:rPr>
                                <w:rFonts w:ascii="Times New Roman" w:hAnsi="Times New Roman" w:cs="Times New Roman"/>
                              </w:rPr>
                              <w:t xml:space="preserve">: </w:t>
                            </w:r>
                          </w:p>
                          <w:p w14:paraId="73038057" w14:textId="77777777" w:rsidR="00907FCD" w:rsidRPr="00D171D5" w:rsidRDefault="00907FCD" w:rsidP="00175CE9">
                            <w:pPr>
                              <w:pStyle w:val="ListParagraph"/>
                              <w:numPr>
                                <w:ilvl w:val="0"/>
                                <w:numId w:val="6"/>
                              </w:numPr>
                              <w:rPr>
                                <w:rFonts w:eastAsia="Times New Roman"/>
                                <w:color w:val="000000" w:themeColor="text1"/>
                              </w:rPr>
                            </w:pPr>
                            <w:r w:rsidRPr="00D171D5">
                              <w:t xml:space="preserve">CMS-1500  </w:t>
                            </w:r>
                          </w:p>
                          <w:p w14:paraId="685F6F5B" w14:textId="77777777" w:rsidR="00907FCD" w:rsidRPr="00D171D5" w:rsidRDefault="00907FCD" w:rsidP="002571A0">
                            <w:pPr>
                              <w:pStyle w:val="ListParagraph"/>
                              <w:numPr>
                                <w:ilvl w:val="0"/>
                                <w:numId w:val="6"/>
                              </w:numPr>
                              <w:rPr>
                                <w:rFonts w:eastAsia="Times New Roman"/>
                                <w:color w:val="000000" w:themeColor="text1"/>
                              </w:rPr>
                            </w:pPr>
                            <w:r w:rsidRPr="00D171D5">
                              <w:t xml:space="preserve">ASC X12 837P claim </w:t>
                            </w:r>
                            <w:proofErr w:type="gramStart"/>
                            <w:r w:rsidRPr="00D171D5">
                              <w:t>form</w:t>
                            </w:r>
                            <w:proofErr w:type="gramEnd"/>
                          </w:p>
                        </w:txbxContent>
                      </wps:txbx>
                      <wps:bodyPr rot="0" vert="horz" wrap="square" lIns="91440" tIns="45720" rIns="91440" bIns="45720" anchor="t" anchorCtr="0">
                        <a:noAutofit/>
                      </wps:bodyPr>
                    </wps:wsp>
                  </a:graphicData>
                </a:graphic>
              </wp:inline>
            </w:drawing>
          </mc:Choice>
          <mc:Fallback>
            <w:pict>
              <v:shape w14:anchorId="33B5C6D6" id="Text Box 2" o:spid="_x0000_s1027" type="#_x0000_t202" style="width:441.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">
                <v:textbox>
                  <w:txbxContent>
                    <w:p w14:paraId="38D44A45" w14:textId="77777777" w:rsidR="00907FCD" w:rsidRPr="000456F5" w:rsidRDefault="00907FCD" w:rsidP="002571A0">
                      <w:pPr>
                        <w:spacing w:after="120"/>
                        <w:rPr>
                          <w:rFonts w:ascii="Times New Roman" w:eastAsia="Times New Roman" w:hAnsi="Times New Roman" w:cs="Times New Roman"/>
                          <w:b/>
                          <w:bCs/>
                          <w:color w:val="000000" w:themeColor="text1"/>
                        </w:rPr>
                      </w:pPr>
                      <w:r w:rsidRPr="000456F5">
                        <w:rPr>
                          <w:rFonts w:ascii="Times New Roman" w:eastAsia="Times New Roman" w:hAnsi="Times New Roman" w:cs="Times New Roman"/>
                          <w:b/>
                          <w:bCs/>
                          <w:color w:val="000000" w:themeColor="text1"/>
                        </w:rPr>
                        <w:t>Clarification for ASC Billing Forms</w:t>
                      </w:r>
                    </w:p>
                    <w:p w14:paraId="433212AE" w14:textId="77777777" w:rsidR="00907FCD" w:rsidRPr="000456F5" w:rsidRDefault="00907FCD" w:rsidP="002571A0">
                      <w:pPr>
                        <w:spacing w:after="0" w:line="240" w:lineRule="auto"/>
                        <w:rPr>
                          <w:rFonts w:ascii="Times New Roman" w:eastAsia="Times New Roman" w:hAnsi="Times New Roman" w:cs="Times New Roman"/>
                          <w:color w:val="000000" w:themeColor="text1"/>
                        </w:rPr>
                      </w:pPr>
                      <w:r w:rsidRPr="000456F5">
                        <w:rPr>
                          <w:rFonts w:ascii="Times New Roman" w:eastAsia="Times New Roman" w:hAnsi="Times New Roman" w:cs="Times New Roman"/>
                          <w:color w:val="000000" w:themeColor="text1"/>
                        </w:rPr>
                        <w:t xml:space="preserve">The following claim forms are used to bill CMS </w:t>
                      </w:r>
                      <w:r w:rsidRPr="000456F5">
                        <w:rPr>
                          <w:rFonts w:ascii="Times New Roman" w:hAnsi="Times New Roman" w:cs="Times New Roman"/>
                        </w:rPr>
                        <w:t>for institutional charges</w:t>
                      </w:r>
                      <w:r w:rsidRPr="000456F5">
                        <w:rPr>
                          <w:rFonts w:ascii="Times New Roman" w:eastAsia="Times New Roman" w:hAnsi="Times New Roman" w:cs="Times New Roman"/>
                          <w:color w:val="000000" w:themeColor="text1"/>
                        </w:rPr>
                        <w:t xml:space="preserve"> under the ASC Payment System</w:t>
                      </w:r>
                      <w:r w:rsidRPr="000456F5">
                        <w:rPr>
                          <w:rFonts w:ascii="Times New Roman" w:hAnsi="Times New Roman" w:cs="Times New Roman"/>
                        </w:rPr>
                        <w:t xml:space="preserve">: </w:t>
                      </w:r>
                    </w:p>
                    <w:p w14:paraId="73038057" w14:textId="77777777" w:rsidR="00907FCD" w:rsidRPr="00D171D5" w:rsidRDefault="00907FCD" w:rsidP="00175CE9">
                      <w:pPr>
                        <w:pStyle w:val="ListParagraph"/>
                        <w:numPr>
                          <w:ilvl w:val="0"/>
                          <w:numId w:val="6"/>
                        </w:numPr>
                        <w:rPr>
                          <w:rFonts w:eastAsia="Times New Roman"/>
                          <w:color w:val="000000" w:themeColor="text1"/>
                        </w:rPr>
                      </w:pPr>
                      <w:r w:rsidRPr="00D171D5">
                        <w:t xml:space="preserve">CMS-1500  </w:t>
                      </w:r>
                    </w:p>
                    <w:p w14:paraId="685F6F5B" w14:textId="77777777" w:rsidR="00907FCD" w:rsidRPr="00D171D5" w:rsidRDefault="00907FCD" w:rsidP="002571A0">
                      <w:pPr>
                        <w:pStyle w:val="ListParagraph"/>
                        <w:numPr>
                          <w:ilvl w:val="0"/>
                          <w:numId w:val="6"/>
                        </w:numPr>
                        <w:rPr>
                          <w:rFonts w:eastAsia="Times New Roman"/>
                          <w:color w:val="000000" w:themeColor="text1"/>
                        </w:rPr>
                      </w:pPr>
                      <w:r w:rsidRPr="00D171D5">
                        <w:t xml:space="preserve">ASC X12 837P claim </w:t>
                      </w:r>
                      <w:proofErr w:type="gramStart"/>
                      <w:r w:rsidRPr="00D171D5">
                        <w:t>form</w:t>
                      </w:r>
                      <w:proofErr w:type="gramEnd"/>
                    </w:p>
                  </w:txbxContent>
                </v:textbox>
                <w10:anchorlock/>
              </v:shape>
            </w:pict>
          </mc:Fallback>
        </mc:AlternateContent>
      </w:r>
    </w:p>
    <w:p w14:paraId="4C936762" w14:textId="77777777" w:rsidR="00907FCD" w:rsidRDefault="00907FCD" w:rsidP="00175CE9">
      <w:pPr>
        <w:pStyle w:val="ListBullet"/>
        <w:numPr>
          <w:ilvl w:val="0"/>
          <w:numId w:val="0"/>
        </w:numPr>
      </w:pPr>
      <w:r>
        <w:t>While facility-level eligibility for OAS CAHPS is based on how ASC</w:t>
      </w:r>
      <w:r w:rsidRPr="00F915C6">
        <w:t>s</w:t>
      </w:r>
      <w:r>
        <w:t xml:space="preserve"> submit for payment to CMS, OAS CAHPS patient-level eligibility includes all payer types, not only CMS</w:t>
      </w:r>
      <w:r w:rsidRPr="00F915C6">
        <w:t>.</w:t>
      </w:r>
    </w:p>
    <w:p w14:paraId="4DF206DF" w14:textId="77777777" w:rsidR="00907FCD" w:rsidRDefault="00907FCD" w:rsidP="00907FCD">
      <w:pPr>
        <w:pStyle w:val="BodyText"/>
        <w:rPr>
          <w:lang w:val="en-US"/>
        </w:rPr>
      </w:pPr>
      <w:r w:rsidRPr="000D4DED">
        <w:t>Some ASCs have more than one location, typically in a geographic region.</w:t>
      </w:r>
      <w:r>
        <w:t xml:space="preserve"> </w:t>
      </w:r>
      <w:r>
        <w:rPr>
          <w:lang w:val="en-US"/>
        </w:rPr>
        <w:t>Each location that bills under the ASC’s CCN and meets the criteria above is eligible to participate.</w:t>
      </w:r>
    </w:p>
    <w:p w14:paraId="58FE84E8" w14:textId="77777777" w:rsidR="00907FCD" w:rsidRDefault="00907FCD" w:rsidP="00907FCD">
      <w:pPr>
        <w:pStyle w:val="BodyText"/>
        <w:spacing w:before="120" w:after="120"/>
        <w:rPr>
          <w:lang w:val="en-US"/>
        </w:rPr>
      </w:pPr>
      <w:r>
        <w:rPr>
          <w:lang w:val="en-US"/>
        </w:rPr>
        <w:t>Exception to participation requirements based on location:</w:t>
      </w:r>
    </w:p>
    <w:p w14:paraId="373DA7B3" w14:textId="77777777" w:rsidR="00907FCD" w:rsidRPr="004663FF" w:rsidRDefault="00907FCD" w:rsidP="00907FCD">
      <w:pPr>
        <w:pStyle w:val="BodyText"/>
        <w:numPr>
          <w:ilvl w:val="0"/>
          <w:numId w:val="4"/>
        </w:numPr>
        <w:spacing w:line="320" w:lineRule="atLeast"/>
        <w:ind w:left="648"/>
        <w:rPr>
          <w:color w:val="000000" w:themeColor="text1"/>
          <w:lang w:val="en-US"/>
        </w:rPr>
      </w:pPr>
      <w:r w:rsidRPr="00F82B6E">
        <w:rPr>
          <w:rFonts w:eastAsiaTheme="minorHAnsi" w:cstheme="minorBidi"/>
          <w:szCs w:val="22"/>
          <w:lang w:val="en-US" w:eastAsia="en-US"/>
        </w:rPr>
        <w:t>ASCs located in U.S. Territories are excluded from OAS CAHPS. (There are some exceptions to this exclusion</w:t>
      </w:r>
      <w:r w:rsidRPr="004663FF">
        <w:rPr>
          <w:color w:val="000000" w:themeColor="text1"/>
          <w:szCs w:val="24"/>
          <w:lang w:val="en-US"/>
        </w:rPr>
        <w:t>.</w:t>
      </w:r>
      <w:r w:rsidRPr="004663FF">
        <w:rPr>
          <w:color w:val="000000" w:themeColor="text1"/>
          <w:szCs w:val="24"/>
        </w:rPr>
        <w:t>)</w:t>
      </w:r>
    </w:p>
    <w:p w14:paraId="53575BB0" w14:textId="77777777" w:rsidR="00907FCD" w:rsidRPr="000D4DED" w:rsidRDefault="00907FCD" w:rsidP="00907FCD">
      <w:pPr>
        <w:pStyle w:val="ListBullet"/>
        <w:numPr>
          <w:ilvl w:val="0"/>
          <w:numId w:val="0"/>
        </w:numPr>
        <w:spacing w:before="240"/>
      </w:pPr>
      <w:r w:rsidRPr="00F01224">
        <w:rPr>
          <w:rFonts w:ascii="Arial" w:hAnsi="Arial" w:cs="Arial"/>
          <w:b/>
          <w:bCs/>
          <w:color w:val="000000" w:themeColor="text1"/>
        </w:rPr>
        <w:t>Participation Exemptions</w:t>
      </w:r>
      <w:r>
        <w:rPr>
          <w:rFonts w:ascii="Arial" w:hAnsi="Arial" w:cs="Arial"/>
          <w:b/>
          <w:bCs/>
          <w:color w:val="000000" w:themeColor="text1"/>
        </w:rPr>
        <w:t xml:space="preserve"> Based on Patient Records</w:t>
      </w:r>
    </w:p>
    <w:p w14:paraId="59654AB9" w14:textId="36E2169D" w:rsidR="00907FCD" w:rsidRDefault="00907FCD" w:rsidP="00907FCD">
      <w:pPr>
        <w:pStyle w:val="ListBullet"/>
        <w:ind w:left="792"/>
      </w:pPr>
      <w:r>
        <w:t xml:space="preserve">Hospitals and ASCs that served fewer than 60 OAS CAHPS survey-eligible patients in the year prior to the data collection year for the applicable payment </w:t>
      </w:r>
      <w:r w:rsidR="00642992">
        <w:t>determination, are</w:t>
      </w:r>
      <w:r w:rsidR="00BD706D">
        <w:t xml:space="preserve"> eligible </w:t>
      </w:r>
      <w:r>
        <w:t>for a</w:t>
      </w:r>
      <w:r w:rsidR="00BD706D">
        <w:t>n</w:t>
      </w:r>
      <w:r>
        <w:t xml:space="preserve"> </w:t>
      </w:r>
      <w:r w:rsidR="00BD706D">
        <w:t xml:space="preserve">exemption from </w:t>
      </w:r>
      <w:r>
        <w:t>participati</w:t>
      </w:r>
      <w:r w:rsidR="00642992">
        <w:t>ng</w:t>
      </w:r>
      <w:r>
        <w:t xml:space="preserve"> </w:t>
      </w:r>
      <w:r w:rsidR="00BD706D">
        <w:t>in the OAS CAHPS Survey</w:t>
      </w:r>
      <w:r>
        <w:t xml:space="preserve">. An </w:t>
      </w:r>
      <w:r w:rsidR="00BD706D">
        <w:t>E</w:t>
      </w:r>
      <w:r>
        <w:t xml:space="preserve">xemption </w:t>
      </w:r>
      <w:r w:rsidR="00BD706D">
        <w:t xml:space="preserve">Request </w:t>
      </w:r>
      <w:r>
        <w:t xml:space="preserve">can be submitted using this form: </w:t>
      </w:r>
      <w:hyperlink r:id="rId14" w:history="1">
        <w:r>
          <w:rPr>
            <w:rStyle w:val="Hyperlink"/>
            <w:rFonts w:eastAsiaTheme="majorEastAsia"/>
          </w:rPr>
          <w:t>Participation Exemption Request (oascahps.org)</w:t>
        </w:r>
      </w:hyperlink>
    </w:p>
    <w:p w14:paraId="1DF0889B" w14:textId="18BB732D" w:rsidR="00907FCD" w:rsidRDefault="00907FCD" w:rsidP="00907FCD">
      <w:pPr>
        <w:pStyle w:val="ListBullet"/>
        <w:ind w:left="792"/>
      </w:pPr>
      <w:r w:rsidRPr="00F01224">
        <w:t>An additional exemption is available to ASCs</w:t>
      </w:r>
      <w:r w:rsidR="00E16AAC">
        <w:t xml:space="preserve">. </w:t>
      </w:r>
      <w:r w:rsidRPr="00F01224">
        <w:t>An ASC that qualifies for an exemption from the ASC Quality Reporting (ASCQR) Program because it had fewer than 240 Medicare</w:t>
      </w:r>
      <w:r w:rsidR="00CF3D40">
        <w:t xml:space="preserve"> Fee-for</w:t>
      </w:r>
      <w:r w:rsidR="005A0E13">
        <w:t>-</w:t>
      </w:r>
      <w:r w:rsidR="00CF3D40">
        <w:t>Service</w:t>
      </w:r>
      <w:r w:rsidRPr="00F01224">
        <w:t xml:space="preserve"> claims (Medicare primary and secondary payer</w:t>
      </w:r>
      <w:r w:rsidR="00CF3D40">
        <w:t>; Medicare Advantage claims are not included</w:t>
      </w:r>
      <w:r w:rsidRPr="00F01224">
        <w:t xml:space="preserve">) </w:t>
      </w:r>
      <w:r w:rsidRPr="006359D0">
        <w:t xml:space="preserve">in the year prior to the data collection year for the applicable payment determination, would also qualify for the exemption from the OAS CAHPS Survey for the same </w:t>
      </w:r>
      <w:proofErr w:type="gramStart"/>
      <w:r w:rsidRPr="006359D0">
        <w:t>time period</w:t>
      </w:r>
      <w:proofErr w:type="gramEnd"/>
      <w:r w:rsidRPr="006359D0">
        <w:t>. There is no need to request an exemption specifically for OAS CAHPS in this case.</w:t>
      </w:r>
    </w:p>
    <w:p w14:paraId="2FB55D47" w14:textId="77777777" w:rsidR="00907FCD" w:rsidRDefault="00907FCD" w:rsidP="00907FCD">
      <w:pPr>
        <w:pStyle w:val="ListBullet"/>
        <w:ind w:left="792"/>
      </w:pPr>
      <w:r>
        <w:t>The OAS CAHPS Survey Participation Periods are provided below.</w:t>
      </w:r>
    </w:p>
    <w:p w14:paraId="62EEB7FE" w14:textId="77777777" w:rsidR="00896297" w:rsidRPr="002C2745" w:rsidRDefault="00896297" w:rsidP="00896297">
      <w:pPr>
        <w:pStyle w:val="Heading2"/>
        <w:rPr>
          <w:rFonts w:ascii="Arial" w:hAnsi="Arial" w:cs="Arial"/>
        </w:rPr>
      </w:pPr>
      <w:r w:rsidRPr="002C2745">
        <w:rPr>
          <w:rFonts w:ascii="Arial" w:hAnsi="Arial" w:cs="Arial"/>
        </w:rPr>
        <w:t>Questions About the OAS CAHPS Survey?</w:t>
      </w:r>
    </w:p>
    <w:p w14:paraId="7B157033" w14:textId="77777777" w:rsidR="00896297" w:rsidRDefault="00896297" w:rsidP="00896297">
      <w:pPr>
        <w:pStyle w:val="BodyText"/>
        <w:spacing w:after="0"/>
      </w:pPr>
      <w:r w:rsidRPr="000D4DED">
        <w:t xml:space="preserve">We welcome questions and comments via our email address at </w:t>
      </w:r>
      <w:hyperlink r:id="rId15" w:history="1">
        <w:r w:rsidRPr="000D4DED">
          <w:rPr>
            <w:rStyle w:val="Hyperlink"/>
            <w:rFonts w:eastAsiaTheme="majorEastAsia"/>
            <w:szCs w:val="22"/>
          </w:rPr>
          <w:t>oascahps@rti.org</w:t>
        </w:r>
      </w:hyperlink>
      <w:r w:rsidRPr="000D4DED">
        <w:t xml:space="preserve"> or our toll</w:t>
      </w:r>
      <w:r>
        <w:t>-free number 1</w:t>
      </w:r>
      <w:r>
        <w:noBreakHyphen/>
        <w:t>866</w:t>
      </w:r>
      <w:r>
        <w:noBreakHyphen/>
        <w:t>590</w:t>
      </w:r>
      <w:r>
        <w:noBreakHyphen/>
      </w:r>
      <w:r w:rsidRPr="000D4DED">
        <w:t>7468 (please leave a message).</w:t>
      </w:r>
    </w:p>
    <w:p w14:paraId="155757B3" w14:textId="77777777" w:rsidR="00896297" w:rsidRDefault="00896297" w:rsidP="00907FCD">
      <w:pPr>
        <w:sectPr w:rsidR="00896297" w:rsidSect="00907FCD">
          <w:footerReference w:type="default" r:id="rId16"/>
          <w:pgSz w:w="12240" w:h="15840"/>
          <w:pgMar w:top="1152" w:right="1296" w:bottom="1008" w:left="1296" w:header="720" w:footer="720" w:gutter="0"/>
          <w:cols w:space="720"/>
          <w:docGrid w:linePitch="360"/>
        </w:sectPr>
      </w:pPr>
    </w:p>
    <w:p w14:paraId="52CC1EBB" w14:textId="77777777" w:rsidR="00907FCD" w:rsidRDefault="00907FCD" w:rsidP="00907FCD">
      <w:pPr>
        <w:pStyle w:val="BodyText"/>
        <w:rPr>
          <w:sz w:val="28"/>
        </w:rPr>
      </w:pPr>
    </w:p>
    <w:p w14:paraId="7BC3C851" w14:textId="77777777" w:rsidR="00907FCD" w:rsidRDefault="00907FCD" w:rsidP="00907FCD">
      <w:pPr>
        <w:spacing w:after="0"/>
        <w:jc w:val="center"/>
        <w:rPr>
          <w:rFonts w:ascii="Arial"/>
          <w:b/>
          <w:sz w:val="28"/>
        </w:rPr>
      </w:pPr>
      <w:r>
        <w:rPr>
          <w:rFonts w:ascii="Arial"/>
          <w:b/>
          <w:sz w:val="28"/>
        </w:rPr>
        <w:t>Outpatient and Ambulatory Surgery CAHPS (OAS CAHPS) Survey Participation Periods</w:t>
      </w:r>
    </w:p>
    <w:p w14:paraId="20E8CA35" w14:textId="77777777" w:rsidR="00907FCD" w:rsidRDefault="00907FCD" w:rsidP="00907FCD">
      <w:pPr>
        <w:pStyle w:val="BodyText"/>
        <w:spacing w:after="0"/>
        <w:rPr>
          <w:rFonts w:ascii="Arial"/>
          <w:b/>
          <w:sz w:val="10"/>
        </w:rPr>
      </w:pPr>
    </w:p>
    <w:tbl>
      <w:tblPr>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3"/>
        <w:gridCol w:w="3710"/>
        <w:gridCol w:w="3710"/>
        <w:gridCol w:w="3711"/>
      </w:tblGrid>
      <w:tr w:rsidR="00907FCD" w14:paraId="22278271" w14:textId="77777777" w:rsidTr="008435FA">
        <w:trPr>
          <w:trHeight w:val="2832"/>
        </w:trPr>
        <w:tc>
          <w:tcPr>
            <w:tcW w:w="1843" w:type="dxa"/>
            <w:tcBorders>
              <w:left w:val="nil"/>
              <w:bottom w:val="single" w:sz="6" w:space="0" w:color="000000"/>
              <w:right w:val="single" w:sz="6" w:space="0" w:color="000000"/>
            </w:tcBorders>
            <w:vAlign w:val="bottom"/>
          </w:tcPr>
          <w:p w14:paraId="1DA2139F" w14:textId="77777777" w:rsidR="00907FCD" w:rsidRPr="00996676" w:rsidRDefault="00907FCD" w:rsidP="008435FA">
            <w:pPr>
              <w:pStyle w:val="TableParagraph"/>
              <w:spacing w:after="60"/>
              <w:rPr>
                <w:rFonts w:ascii="Arial"/>
                <w:bCs/>
              </w:rPr>
            </w:pPr>
          </w:p>
          <w:p w14:paraId="6DD76F5C" w14:textId="77777777" w:rsidR="00907FCD" w:rsidRPr="00996676" w:rsidRDefault="00907FCD" w:rsidP="008435FA">
            <w:pPr>
              <w:pStyle w:val="TableParagraph"/>
              <w:spacing w:after="60"/>
              <w:rPr>
                <w:rFonts w:ascii="Arial"/>
                <w:bCs/>
              </w:rPr>
            </w:pPr>
          </w:p>
          <w:p w14:paraId="7CD809E4" w14:textId="77777777" w:rsidR="00907FCD" w:rsidRPr="00996676" w:rsidRDefault="00907FCD" w:rsidP="008435FA">
            <w:pPr>
              <w:pStyle w:val="TableParagraph"/>
              <w:spacing w:after="60"/>
              <w:rPr>
                <w:rFonts w:ascii="Arial"/>
                <w:bCs/>
              </w:rPr>
            </w:pPr>
          </w:p>
          <w:p w14:paraId="07005835" w14:textId="77777777" w:rsidR="00907FCD" w:rsidRPr="00996676" w:rsidRDefault="00907FCD" w:rsidP="008435FA">
            <w:pPr>
              <w:pStyle w:val="TableParagraph"/>
              <w:spacing w:after="60"/>
              <w:rPr>
                <w:rFonts w:ascii="Arial"/>
                <w:bCs/>
              </w:rPr>
            </w:pPr>
          </w:p>
          <w:p w14:paraId="33449DC8" w14:textId="77777777" w:rsidR="00907FCD" w:rsidRPr="00996676" w:rsidRDefault="00907FCD" w:rsidP="008435FA">
            <w:pPr>
              <w:pStyle w:val="TableParagraph"/>
              <w:spacing w:after="60"/>
              <w:rPr>
                <w:rFonts w:ascii="Arial"/>
                <w:bCs/>
              </w:rPr>
            </w:pPr>
          </w:p>
          <w:p w14:paraId="6A65C1CB" w14:textId="77777777" w:rsidR="00907FCD" w:rsidRPr="00996676" w:rsidRDefault="00907FCD" w:rsidP="008435FA">
            <w:pPr>
              <w:pStyle w:val="TableParagraph"/>
              <w:spacing w:before="171" w:after="60" w:line="241" w:lineRule="exact"/>
              <w:ind w:left="123" w:right="161"/>
              <w:rPr>
                <w:bCs/>
                <w:sz w:val="21"/>
              </w:rPr>
            </w:pPr>
            <w:r w:rsidRPr="00996676">
              <w:rPr>
                <w:bCs/>
                <w:sz w:val="21"/>
              </w:rPr>
              <w:t>(A)</w:t>
            </w:r>
          </w:p>
          <w:p w14:paraId="5CC8752A" w14:textId="77777777" w:rsidR="00907FCD" w:rsidRPr="00996676" w:rsidRDefault="00907FCD" w:rsidP="008435FA">
            <w:pPr>
              <w:pStyle w:val="TableParagraph"/>
              <w:spacing w:after="60"/>
              <w:ind w:left="123" w:right="161"/>
              <w:rPr>
                <w:bCs/>
                <w:sz w:val="21"/>
              </w:rPr>
            </w:pPr>
            <w:r w:rsidRPr="00996676">
              <w:rPr>
                <w:bCs/>
                <w:sz w:val="21"/>
              </w:rPr>
              <w:t>Annual Payment Update (APU) Calendar Year</w:t>
            </w:r>
          </w:p>
        </w:tc>
        <w:tc>
          <w:tcPr>
            <w:tcW w:w="3710" w:type="dxa"/>
            <w:tcBorders>
              <w:left w:val="single" w:sz="6" w:space="0" w:color="000000"/>
              <w:bottom w:val="single" w:sz="6" w:space="0" w:color="000000"/>
              <w:right w:val="single" w:sz="6" w:space="0" w:color="000000"/>
            </w:tcBorders>
            <w:vAlign w:val="bottom"/>
          </w:tcPr>
          <w:p w14:paraId="1143C618" w14:textId="77777777" w:rsidR="00907FCD" w:rsidRPr="00996676" w:rsidRDefault="00907FCD" w:rsidP="008435FA">
            <w:pPr>
              <w:pStyle w:val="TableParagraph"/>
              <w:spacing w:after="60"/>
              <w:rPr>
                <w:rFonts w:ascii="Arial"/>
                <w:bCs/>
              </w:rPr>
            </w:pPr>
          </w:p>
          <w:p w14:paraId="70134787" w14:textId="77777777" w:rsidR="00907FCD" w:rsidRPr="00996676" w:rsidRDefault="00907FCD" w:rsidP="008435FA">
            <w:pPr>
              <w:pStyle w:val="TableParagraph"/>
              <w:spacing w:after="60"/>
              <w:rPr>
                <w:rFonts w:ascii="Arial"/>
                <w:bCs/>
              </w:rPr>
            </w:pPr>
          </w:p>
          <w:p w14:paraId="2EAC0AD1" w14:textId="77777777" w:rsidR="00907FCD" w:rsidRPr="00996676" w:rsidRDefault="00907FCD" w:rsidP="008435FA">
            <w:pPr>
              <w:pStyle w:val="TableParagraph"/>
              <w:spacing w:after="60"/>
              <w:rPr>
                <w:rFonts w:ascii="Arial"/>
                <w:bCs/>
              </w:rPr>
            </w:pPr>
          </w:p>
          <w:p w14:paraId="1927C8AC" w14:textId="77777777" w:rsidR="00907FCD" w:rsidRPr="00996676" w:rsidRDefault="00907FCD" w:rsidP="008435FA">
            <w:pPr>
              <w:pStyle w:val="TableParagraph"/>
              <w:spacing w:after="60"/>
              <w:rPr>
                <w:rFonts w:ascii="Arial"/>
                <w:bCs/>
              </w:rPr>
            </w:pPr>
          </w:p>
          <w:p w14:paraId="264A32AC" w14:textId="77777777" w:rsidR="00907FCD" w:rsidRPr="00996676" w:rsidRDefault="00907FCD" w:rsidP="008435FA">
            <w:pPr>
              <w:pStyle w:val="TableParagraph"/>
              <w:spacing w:before="164" w:after="60" w:line="241" w:lineRule="exact"/>
              <w:ind w:left="101"/>
              <w:rPr>
                <w:bCs/>
                <w:sz w:val="21"/>
              </w:rPr>
            </w:pPr>
            <w:r w:rsidRPr="00996676">
              <w:rPr>
                <w:bCs/>
                <w:sz w:val="21"/>
              </w:rPr>
              <w:t>(B)</w:t>
            </w:r>
          </w:p>
          <w:p w14:paraId="0786AF34" w14:textId="77777777" w:rsidR="00907FCD" w:rsidRPr="00996676" w:rsidRDefault="00907FCD" w:rsidP="008435FA">
            <w:pPr>
              <w:pStyle w:val="TableParagraph"/>
              <w:spacing w:after="60"/>
              <w:ind w:left="101" w:right="327"/>
              <w:rPr>
                <w:bCs/>
                <w:sz w:val="21"/>
              </w:rPr>
            </w:pPr>
            <w:r w:rsidRPr="00996676">
              <w:rPr>
                <w:bCs/>
                <w:sz w:val="21"/>
              </w:rPr>
              <w:t>Did the facility serve 60 or more survey-eligible patients during the 12-month period specified below?</w:t>
            </w:r>
          </w:p>
        </w:tc>
        <w:tc>
          <w:tcPr>
            <w:tcW w:w="3710" w:type="dxa"/>
            <w:tcBorders>
              <w:left w:val="single" w:sz="6" w:space="0" w:color="000000"/>
              <w:bottom w:val="single" w:sz="6" w:space="0" w:color="000000"/>
              <w:right w:val="single" w:sz="6" w:space="0" w:color="000000"/>
            </w:tcBorders>
            <w:vAlign w:val="bottom"/>
          </w:tcPr>
          <w:p w14:paraId="54FC12A4" w14:textId="77777777" w:rsidR="00907FCD" w:rsidRPr="00996676" w:rsidRDefault="00907FCD" w:rsidP="008435FA">
            <w:pPr>
              <w:pStyle w:val="TableParagraph"/>
              <w:spacing w:before="10" w:after="60"/>
              <w:rPr>
                <w:rFonts w:ascii="Arial"/>
                <w:bCs/>
                <w:sz w:val="19"/>
              </w:rPr>
            </w:pPr>
          </w:p>
          <w:p w14:paraId="6563F29F" w14:textId="77777777" w:rsidR="00907FCD" w:rsidRPr="00996676" w:rsidRDefault="00907FCD" w:rsidP="008435FA">
            <w:pPr>
              <w:pStyle w:val="TableParagraph"/>
              <w:spacing w:before="1" w:after="60" w:line="241" w:lineRule="exact"/>
              <w:ind w:left="99"/>
              <w:rPr>
                <w:bCs/>
                <w:sz w:val="21"/>
              </w:rPr>
            </w:pPr>
            <w:r w:rsidRPr="00996676">
              <w:rPr>
                <w:bCs/>
                <w:sz w:val="21"/>
              </w:rPr>
              <w:t>(C)</w:t>
            </w:r>
          </w:p>
          <w:p w14:paraId="465F9DD2" w14:textId="77777777" w:rsidR="00907FCD" w:rsidRPr="00996676" w:rsidRDefault="00907FCD" w:rsidP="008435FA">
            <w:pPr>
              <w:pStyle w:val="TableParagraph"/>
              <w:spacing w:after="60"/>
              <w:ind w:left="99" w:right="131"/>
              <w:rPr>
                <w:bCs/>
                <w:sz w:val="21"/>
              </w:rPr>
            </w:pPr>
            <w:r w:rsidRPr="00996676">
              <w:rPr>
                <w:bCs/>
                <w:sz w:val="21"/>
              </w:rPr>
              <w:t xml:space="preserve">If the </w:t>
            </w:r>
            <w:r w:rsidRPr="00996676">
              <w:rPr>
                <w:bCs/>
                <w:spacing w:val="-3"/>
                <w:sz w:val="21"/>
              </w:rPr>
              <w:t xml:space="preserve">facility </w:t>
            </w:r>
            <w:r w:rsidRPr="00996676">
              <w:rPr>
                <w:bCs/>
                <w:sz w:val="21"/>
              </w:rPr>
              <w:t xml:space="preserve">served 60 or more survey-eligible patients </w:t>
            </w:r>
            <w:r w:rsidRPr="00996676">
              <w:rPr>
                <w:bCs/>
                <w:spacing w:val="-3"/>
                <w:sz w:val="21"/>
              </w:rPr>
              <w:t xml:space="preserve">during </w:t>
            </w:r>
            <w:r w:rsidRPr="00996676">
              <w:rPr>
                <w:bCs/>
                <w:sz w:val="21"/>
              </w:rPr>
              <w:t>the 12-month period specified in Column B, to receive the annual payment update for a specific calendar year, the facility must administer the survey and submit an OAS CAHPS data file for each month</w:t>
            </w:r>
            <w:r w:rsidRPr="00996676">
              <w:rPr>
                <w:bCs/>
                <w:spacing w:val="-29"/>
                <w:sz w:val="21"/>
              </w:rPr>
              <w:t xml:space="preserve"> </w:t>
            </w:r>
            <w:r w:rsidRPr="00996676">
              <w:rPr>
                <w:bCs/>
                <w:sz w:val="21"/>
              </w:rPr>
              <w:t>as noted</w:t>
            </w:r>
            <w:r w:rsidRPr="00996676">
              <w:rPr>
                <w:bCs/>
                <w:spacing w:val="-2"/>
                <w:sz w:val="21"/>
              </w:rPr>
              <w:t xml:space="preserve"> </w:t>
            </w:r>
            <w:r w:rsidRPr="00996676">
              <w:rPr>
                <w:bCs/>
                <w:sz w:val="21"/>
              </w:rPr>
              <w:t>below.</w:t>
            </w:r>
          </w:p>
        </w:tc>
        <w:tc>
          <w:tcPr>
            <w:tcW w:w="3711" w:type="dxa"/>
            <w:tcBorders>
              <w:left w:val="single" w:sz="6" w:space="0" w:color="000000"/>
              <w:bottom w:val="single" w:sz="6" w:space="0" w:color="000000"/>
              <w:right w:val="nil"/>
            </w:tcBorders>
            <w:vAlign w:val="bottom"/>
          </w:tcPr>
          <w:p w14:paraId="5D3655E2" w14:textId="77777777" w:rsidR="00907FCD" w:rsidRPr="00996676" w:rsidRDefault="00907FCD" w:rsidP="008435FA">
            <w:pPr>
              <w:pStyle w:val="TableParagraph"/>
              <w:spacing w:after="60" w:line="241" w:lineRule="exact"/>
              <w:ind w:left="103"/>
              <w:rPr>
                <w:bCs/>
                <w:sz w:val="21"/>
              </w:rPr>
            </w:pPr>
            <w:r w:rsidRPr="00996676">
              <w:rPr>
                <w:bCs/>
                <w:sz w:val="21"/>
              </w:rPr>
              <w:t>(D)</w:t>
            </w:r>
          </w:p>
          <w:p w14:paraId="08899BB7" w14:textId="77777777" w:rsidR="00907FCD" w:rsidRPr="00996676" w:rsidRDefault="00907FCD" w:rsidP="008435FA">
            <w:pPr>
              <w:pStyle w:val="TableParagraph"/>
              <w:spacing w:after="60"/>
              <w:ind w:left="103" w:right="85"/>
              <w:rPr>
                <w:bCs/>
                <w:sz w:val="21"/>
              </w:rPr>
            </w:pPr>
            <w:r w:rsidRPr="00996676">
              <w:rPr>
                <w:bCs/>
                <w:sz w:val="21"/>
              </w:rPr>
              <w:t>If the facility served fewer than 60 survey-eligible patients during the 12-month period specified in Column B, the facility is eligible for an exemption from participating in the OAS CAHPS Survey for the 12-month period specified in Column C. To receive an exemption, the facility must submit a Participation Exemption Request Form by the date noted below.</w:t>
            </w:r>
          </w:p>
        </w:tc>
      </w:tr>
      <w:tr w:rsidR="00907FCD" w14:paraId="18BB8D80" w14:textId="77777777" w:rsidTr="008435FA">
        <w:trPr>
          <w:trHeight w:val="493"/>
        </w:trPr>
        <w:tc>
          <w:tcPr>
            <w:tcW w:w="1843" w:type="dxa"/>
            <w:tcBorders>
              <w:top w:val="single" w:sz="4" w:space="0" w:color="auto"/>
              <w:left w:val="nil"/>
              <w:bottom w:val="single" w:sz="6" w:space="0" w:color="000000"/>
              <w:right w:val="single" w:sz="6" w:space="0" w:color="000000"/>
            </w:tcBorders>
          </w:tcPr>
          <w:p w14:paraId="60C3DD0D" w14:textId="4152934E" w:rsidR="00907FCD" w:rsidRDefault="00907FCD" w:rsidP="008435FA">
            <w:pPr>
              <w:pStyle w:val="TableParagraph"/>
              <w:spacing w:before="123"/>
              <w:ind w:left="123" w:right="101"/>
              <w:jc w:val="center"/>
            </w:pPr>
            <w:r>
              <w:t>2026</w:t>
            </w:r>
          </w:p>
        </w:tc>
        <w:tc>
          <w:tcPr>
            <w:tcW w:w="3710" w:type="dxa"/>
            <w:tcBorders>
              <w:top w:val="single" w:sz="4" w:space="0" w:color="auto"/>
              <w:left w:val="single" w:sz="6" w:space="0" w:color="000000"/>
              <w:bottom w:val="single" w:sz="6" w:space="0" w:color="000000"/>
              <w:right w:val="single" w:sz="6" w:space="0" w:color="000000"/>
            </w:tcBorders>
          </w:tcPr>
          <w:p w14:paraId="550417CF" w14:textId="5032A0E0" w:rsidR="00907FCD" w:rsidRDefault="00907FCD" w:rsidP="008435FA">
            <w:pPr>
              <w:pStyle w:val="TableParagraph"/>
              <w:spacing w:before="123"/>
              <w:ind w:left="131"/>
              <w:jc w:val="center"/>
            </w:pPr>
            <w:r>
              <w:t>January 1, 2023–December 31, 2023</w:t>
            </w:r>
          </w:p>
        </w:tc>
        <w:tc>
          <w:tcPr>
            <w:tcW w:w="3710" w:type="dxa"/>
            <w:tcBorders>
              <w:top w:val="single" w:sz="4" w:space="0" w:color="auto"/>
              <w:left w:val="single" w:sz="6" w:space="0" w:color="000000"/>
              <w:bottom w:val="single" w:sz="6" w:space="0" w:color="000000"/>
              <w:right w:val="single" w:sz="6" w:space="0" w:color="000000"/>
            </w:tcBorders>
          </w:tcPr>
          <w:p w14:paraId="1912431B" w14:textId="22707B30" w:rsidR="00907FCD" w:rsidRDefault="00907FCD" w:rsidP="008435FA">
            <w:pPr>
              <w:pStyle w:val="TableParagraph"/>
              <w:tabs>
                <w:tab w:val="left" w:pos="856"/>
              </w:tabs>
              <w:spacing w:before="123"/>
              <w:ind w:left="-34"/>
              <w:jc w:val="center"/>
            </w:pPr>
            <w:r>
              <w:t xml:space="preserve">January 2024–December </w:t>
            </w:r>
            <w:r>
              <w:rPr>
                <w:spacing w:val="-3"/>
              </w:rPr>
              <w:t>2024</w:t>
            </w:r>
          </w:p>
        </w:tc>
        <w:tc>
          <w:tcPr>
            <w:tcW w:w="3711" w:type="dxa"/>
            <w:tcBorders>
              <w:top w:val="single" w:sz="4" w:space="0" w:color="auto"/>
              <w:left w:val="single" w:sz="6" w:space="0" w:color="000000"/>
              <w:bottom w:val="single" w:sz="4" w:space="0" w:color="auto"/>
              <w:right w:val="nil"/>
            </w:tcBorders>
          </w:tcPr>
          <w:p w14:paraId="6CA533A7" w14:textId="51F7B6D4" w:rsidR="00907FCD" w:rsidRPr="00AC23C8" w:rsidRDefault="00907FCD" w:rsidP="008435FA">
            <w:pPr>
              <w:pStyle w:val="TableParagraph"/>
              <w:spacing w:before="123"/>
              <w:ind w:right="1108"/>
              <w:jc w:val="center"/>
            </w:pPr>
            <w:r w:rsidRPr="00AC23C8">
              <w:t>December 31, 2024</w:t>
            </w:r>
          </w:p>
        </w:tc>
      </w:tr>
      <w:tr w:rsidR="00907FCD" w14:paraId="0B8F4472" w14:textId="77777777" w:rsidTr="00175CE9">
        <w:trPr>
          <w:trHeight w:val="493"/>
        </w:trPr>
        <w:tc>
          <w:tcPr>
            <w:tcW w:w="1843" w:type="dxa"/>
            <w:tcBorders>
              <w:top w:val="single" w:sz="6" w:space="0" w:color="000000"/>
              <w:left w:val="nil"/>
              <w:bottom w:val="single" w:sz="6" w:space="0" w:color="000000"/>
              <w:right w:val="single" w:sz="6" w:space="0" w:color="000000"/>
            </w:tcBorders>
          </w:tcPr>
          <w:p w14:paraId="6E30167A" w14:textId="77777777" w:rsidR="00907FCD" w:rsidRDefault="00907FCD" w:rsidP="008435FA">
            <w:pPr>
              <w:pStyle w:val="TableParagraph"/>
              <w:spacing w:before="120"/>
              <w:ind w:left="123" w:right="101"/>
              <w:jc w:val="center"/>
            </w:pPr>
            <w:r>
              <w:t>2027</w:t>
            </w:r>
          </w:p>
        </w:tc>
        <w:tc>
          <w:tcPr>
            <w:tcW w:w="3710" w:type="dxa"/>
            <w:tcBorders>
              <w:top w:val="single" w:sz="6" w:space="0" w:color="000000"/>
              <w:left w:val="single" w:sz="6" w:space="0" w:color="000000"/>
              <w:bottom w:val="single" w:sz="6" w:space="0" w:color="000000"/>
              <w:right w:val="single" w:sz="6" w:space="0" w:color="000000"/>
            </w:tcBorders>
          </w:tcPr>
          <w:p w14:paraId="45DB4240" w14:textId="77777777" w:rsidR="00907FCD" w:rsidRDefault="00907FCD" w:rsidP="008435FA">
            <w:pPr>
              <w:pStyle w:val="TableParagraph"/>
              <w:spacing w:before="120"/>
              <w:ind w:left="131"/>
              <w:jc w:val="center"/>
            </w:pPr>
            <w:r>
              <w:t>January 1, 2024–December 31, 2024</w:t>
            </w:r>
          </w:p>
        </w:tc>
        <w:tc>
          <w:tcPr>
            <w:tcW w:w="3710" w:type="dxa"/>
            <w:tcBorders>
              <w:top w:val="single" w:sz="6" w:space="0" w:color="000000"/>
              <w:left w:val="single" w:sz="6" w:space="0" w:color="000000"/>
              <w:bottom w:val="single" w:sz="6" w:space="0" w:color="000000"/>
              <w:right w:val="single" w:sz="6" w:space="0" w:color="000000"/>
            </w:tcBorders>
          </w:tcPr>
          <w:p w14:paraId="07897BE0" w14:textId="77777777" w:rsidR="00907FCD" w:rsidRDefault="00907FCD" w:rsidP="008435FA">
            <w:pPr>
              <w:pStyle w:val="TableParagraph"/>
              <w:tabs>
                <w:tab w:val="left" w:pos="856"/>
              </w:tabs>
              <w:spacing w:before="120"/>
              <w:ind w:left="-34"/>
              <w:jc w:val="center"/>
            </w:pPr>
            <w:r>
              <w:t>January 2025–December</w:t>
            </w:r>
            <w:r>
              <w:rPr>
                <w:spacing w:val="-2"/>
              </w:rPr>
              <w:t xml:space="preserve"> </w:t>
            </w:r>
            <w:r>
              <w:rPr>
                <w:spacing w:val="-3"/>
              </w:rPr>
              <w:t>2025</w:t>
            </w:r>
          </w:p>
        </w:tc>
        <w:tc>
          <w:tcPr>
            <w:tcW w:w="3711" w:type="dxa"/>
            <w:tcBorders>
              <w:top w:val="single" w:sz="4" w:space="0" w:color="auto"/>
              <w:left w:val="single" w:sz="6" w:space="0" w:color="000000"/>
              <w:bottom w:val="single" w:sz="4" w:space="0" w:color="auto"/>
              <w:right w:val="nil"/>
            </w:tcBorders>
          </w:tcPr>
          <w:p w14:paraId="4062060F" w14:textId="77777777" w:rsidR="00907FCD" w:rsidRPr="00AC23C8" w:rsidRDefault="00907FCD" w:rsidP="008435FA">
            <w:pPr>
              <w:pStyle w:val="TableParagraph"/>
              <w:spacing w:before="120"/>
              <w:ind w:right="1108"/>
              <w:jc w:val="center"/>
            </w:pPr>
            <w:r w:rsidRPr="00AC23C8">
              <w:t>December 31, 2025</w:t>
            </w:r>
          </w:p>
        </w:tc>
      </w:tr>
      <w:tr w:rsidR="00E16AAC" w14:paraId="1420BDF6" w14:textId="77777777" w:rsidTr="008435FA">
        <w:trPr>
          <w:trHeight w:val="493"/>
        </w:trPr>
        <w:tc>
          <w:tcPr>
            <w:tcW w:w="1843" w:type="dxa"/>
            <w:tcBorders>
              <w:top w:val="single" w:sz="6" w:space="0" w:color="000000"/>
              <w:left w:val="nil"/>
              <w:right w:val="single" w:sz="6" w:space="0" w:color="000000"/>
            </w:tcBorders>
          </w:tcPr>
          <w:p w14:paraId="1D3CBEB8" w14:textId="4448D50E" w:rsidR="00E16AAC" w:rsidRDefault="00E16AAC" w:rsidP="008435FA">
            <w:pPr>
              <w:pStyle w:val="TableParagraph"/>
              <w:spacing w:before="120"/>
              <w:ind w:left="123" w:right="101"/>
              <w:jc w:val="center"/>
            </w:pPr>
            <w:r>
              <w:t>2028</w:t>
            </w:r>
          </w:p>
        </w:tc>
        <w:tc>
          <w:tcPr>
            <w:tcW w:w="3710" w:type="dxa"/>
            <w:tcBorders>
              <w:top w:val="single" w:sz="6" w:space="0" w:color="000000"/>
              <w:left w:val="single" w:sz="6" w:space="0" w:color="000000"/>
              <w:right w:val="single" w:sz="6" w:space="0" w:color="000000"/>
            </w:tcBorders>
          </w:tcPr>
          <w:p w14:paraId="3E6D6BA4" w14:textId="7C99F260" w:rsidR="00E16AAC" w:rsidRDefault="00E16AAC" w:rsidP="008435FA">
            <w:pPr>
              <w:pStyle w:val="TableParagraph"/>
              <w:spacing w:before="120"/>
              <w:ind w:left="131"/>
              <w:jc w:val="center"/>
            </w:pPr>
            <w:r>
              <w:t>January 1, 2025- December 31, 20</w:t>
            </w:r>
            <w:r w:rsidR="00175CE9">
              <w:t>2</w:t>
            </w:r>
            <w:r w:rsidR="00E1272F">
              <w:t>5</w:t>
            </w:r>
          </w:p>
        </w:tc>
        <w:tc>
          <w:tcPr>
            <w:tcW w:w="3710" w:type="dxa"/>
            <w:tcBorders>
              <w:top w:val="single" w:sz="6" w:space="0" w:color="000000"/>
              <w:left w:val="single" w:sz="6" w:space="0" w:color="000000"/>
              <w:right w:val="single" w:sz="6" w:space="0" w:color="000000"/>
            </w:tcBorders>
          </w:tcPr>
          <w:p w14:paraId="06C74168" w14:textId="3E8B14D4" w:rsidR="00E16AAC" w:rsidRDefault="00E16AAC" w:rsidP="008435FA">
            <w:pPr>
              <w:pStyle w:val="TableParagraph"/>
              <w:tabs>
                <w:tab w:val="left" w:pos="856"/>
              </w:tabs>
              <w:spacing w:before="120"/>
              <w:ind w:left="-34"/>
              <w:jc w:val="center"/>
            </w:pPr>
            <w:r>
              <w:t>January 2026- December 2026</w:t>
            </w:r>
          </w:p>
        </w:tc>
        <w:tc>
          <w:tcPr>
            <w:tcW w:w="3711" w:type="dxa"/>
            <w:tcBorders>
              <w:top w:val="single" w:sz="4" w:space="0" w:color="auto"/>
              <w:left w:val="single" w:sz="6" w:space="0" w:color="000000"/>
              <w:right w:val="nil"/>
            </w:tcBorders>
          </w:tcPr>
          <w:p w14:paraId="2524E98E" w14:textId="3D3C93D6" w:rsidR="00E16AAC" w:rsidRPr="00AC23C8" w:rsidRDefault="00E16AAC" w:rsidP="008435FA">
            <w:pPr>
              <w:pStyle w:val="TableParagraph"/>
              <w:spacing w:before="120"/>
              <w:ind w:right="1108"/>
              <w:jc w:val="center"/>
            </w:pPr>
            <w:r>
              <w:t>December 31, 2026</w:t>
            </w:r>
          </w:p>
        </w:tc>
      </w:tr>
    </w:tbl>
    <w:p w14:paraId="12417879" w14:textId="2D77F91D" w:rsidR="00907FCD" w:rsidRDefault="00907FCD" w:rsidP="00907FCD">
      <w:pPr>
        <w:pStyle w:val="ListParagraph"/>
        <w:widowControl w:val="0"/>
        <w:numPr>
          <w:ilvl w:val="0"/>
          <w:numId w:val="5"/>
        </w:numPr>
        <w:tabs>
          <w:tab w:val="left" w:pos="1888"/>
        </w:tabs>
        <w:autoSpaceDE w:val="0"/>
        <w:autoSpaceDN w:val="0"/>
        <w:spacing w:before="142" w:line="240" w:lineRule="auto"/>
        <w:ind w:left="864"/>
        <w:contextualSpacing w:val="0"/>
      </w:pPr>
      <w:r>
        <w:t>Medicare-certified</w:t>
      </w:r>
      <w:r w:rsidRPr="00996676">
        <w:rPr>
          <w:spacing w:val="-6"/>
        </w:rPr>
        <w:t xml:space="preserve"> </w:t>
      </w:r>
      <w:r>
        <w:t>HOPDs</w:t>
      </w:r>
      <w:r w:rsidRPr="00996676">
        <w:rPr>
          <w:spacing w:val="-6"/>
        </w:rPr>
        <w:t xml:space="preserve"> </w:t>
      </w:r>
      <w:r>
        <w:t>and</w:t>
      </w:r>
      <w:r w:rsidRPr="00996676">
        <w:rPr>
          <w:spacing w:val="-6"/>
        </w:rPr>
        <w:t xml:space="preserve"> </w:t>
      </w:r>
      <w:r>
        <w:t>ASCs</w:t>
      </w:r>
      <w:r w:rsidRPr="00996676">
        <w:rPr>
          <w:spacing w:val="-4"/>
        </w:rPr>
        <w:t xml:space="preserve"> </w:t>
      </w:r>
      <w:r>
        <w:t>(facilities</w:t>
      </w:r>
      <w:r w:rsidRPr="00EA484C">
        <w:t>)</w:t>
      </w:r>
      <w:r w:rsidRPr="00996676">
        <w:rPr>
          <w:spacing w:val="-6"/>
        </w:rPr>
        <w:t xml:space="preserve"> </w:t>
      </w:r>
      <w:r w:rsidRPr="00EA484C">
        <w:t>that</w:t>
      </w:r>
      <w:r w:rsidRPr="00996676">
        <w:rPr>
          <w:spacing w:val="-4"/>
        </w:rPr>
        <w:t xml:space="preserve"> </w:t>
      </w:r>
      <w:r w:rsidRPr="00EA484C">
        <w:t>serve</w:t>
      </w:r>
      <w:r w:rsidRPr="00996676">
        <w:rPr>
          <w:spacing w:val="-6"/>
        </w:rPr>
        <w:t xml:space="preserve"> </w:t>
      </w:r>
      <w:r w:rsidRPr="00EA484C">
        <w:t>less than 60</w:t>
      </w:r>
      <w:r w:rsidRPr="00996676">
        <w:rPr>
          <w:spacing w:val="-5"/>
        </w:rPr>
        <w:t xml:space="preserve"> </w:t>
      </w:r>
      <w:r w:rsidRPr="00EA484C">
        <w:t>survey-eligible</w:t>
      </w:r>
      <w:r w:rsidRPr="00996676">
        <w:rPr>
          <w:spacing w:val="-5"/>
        </w:rPr>
        <w:t xml:space="preserve"> </w:t>
      </w:r>
      <w:r w:rsidRPr="00EA484C">
        <w:t>patients</w:t>
      </w:r>
      <w:r w:rsidRPr="00996676">
        <w:rPr>
          <w:spacing w:val="-4"/>
        </w:rPr>
        <w:t xml:space="preserve"> </w:t>
      </w:r>
      <w:r w:rsidRPr="00EA484C">
        <w:t>during</w:t>
      </w:r>
      <w:r w:rsidRPr="00996676">
        <w:rPr>
          <w:spacing w:val="-5"/>
        </w:rPr>
        <w:t xml:space="preserve"> </w:t>
      </w:r>
      <w:r w:rsidRPr="00EA484C">
        <w:t>the</w:t>
      </w:r>
      <w:r w:rsidRPr="00996676">
        <w:rPr>
          <w:spacing w:val="-6"/>
        </w:rPr>
        <w:t xml:space="preserve"> </w:t>
      </w:r>
      <w:r w:rsidRPr="00EA484C">
        <w:t>12-month</w:t>
      </w:r>
      <w:r w:rsidRPr="00996676">
        <w:rPr>
          <w:spacing w:val="-5"/>
        </w:rPr>
        <w:t xml:space="preserve"> </w:t>
      </w:r>
      <w:r w:rsidRPr="00EA484C">
        <w:t>period specified in Column B are eligible for an exemption from participating</w:t>
      </w:r>
      <w:r>
        <w:t xml:space="preserve"> in the OAS CAHPS Survey for the corresponding months shown in Column</w:t>
      </w:r>
      <w:r w:rsidRPr="00996676">
        <w:rPr>
          <w:spacing w:val="-3"/>
        </w:rPr>
        <w:t xml:space="preserve"> </w:t>
      </w:r>
      <w:r>
        <w:t xml:space="preserve">C.  </w:t>
      </w:r>
    </w:p>
    <w:p w14:paraId="74B77021" w14:textId="112405E3" w:rsidR="00907FCD" w:rsidRDefault="00907FCD" w:rsidP="00907FCD">
      <w:pPr>
        <w:pStyle w:val="ListParagraph"/>
        <w:widowControl w:val="0"/>
        <w:numPr>
          <w:ilvl w:val="0"/>
          <w:numId w:val="5"/>
        </w:numPr>
        <w:tabs>
          <w:tab w:val="left" w:pos="1888"/>
        </w:tabs>
        <w:autoSpaceDE w:val="0"/>
        <w:autoSpaceDN w:val="0"/>
        <w:spacing w:before="60" w:line="240" w:lineRule="auto"/>
        <w:ind w:left="864"/>
        <w:contextualSpacing w:val="0"/>
      </w:pPr>
      <w:r>
        <w:t>Facilities that qualify for an exemption should note that the exemption for each annual payment update calendar year expires on December 31</w:t>
      </w:r>
      <w:r w:rsidR="00BD706D" w:rsidRPr="00642992">
        <w:rPr>
          <w:vertAlign w:val="superscript"/>
        </w:rPr>
        <w:t>st</w:t>
      </w:r>
      <w:r w:rsidR="00BD706D">
        <w:t xml:space="preserve"> </w:t>
      </w:r>
      <w:r>
        <w:t>of each year. Therefore, to receive an exemption, a Participation Exemption Request Form must be submitted on an annual basis.</w:t>
      </w:r>
    </w:p>
    <w:p w14:paraId="3C558857" w14:textId="4C6E5B15" w:rsidR="00907FCD" w:rsidRDefault="00907FCD" w:rsidP="00907FCD">
      <w:pPr>
        <w:pStyle w:val="ListParagraph"/>
        <w:widowControl w:val="0"/>
        <w:numPr>
          <w:ilvl w:val="0"/>
          <w:numId w:val="5"/>
        </w:numPr>
        <w:tabs>
          <w:tab w:val="left" w:pos="1888"/>
        </w:tabs>
        <w:autoSpaceDE w:val="0"/>
        <w:autoSpaceDN w:val="0"/>
        <w:spacing w:before="60" w:line="240" w:lineRule="auto"/>
        <w:ind w:left="864" w:hanging="361"/>
        <w:contextualSpacing w:val="0"/>
      </w:pPr>
      <w:r>
        <w:t>The Participation Exemption Request Form for the CY 202</w:t>
      </w:r>
      <w:r w:rsidR="00E16AAC">
        <w:t>7</w:t>
      </w:r>
      <w:r>
        <w:t xml:space="preserve"> APU </w:t>
      </w:r>
      <w:r w:rsidR="00E16AAC">
        <w:t xml:space="preserve">is </w:t>
      </w:r>
      <w:r>
        <w:t xml:space="preserve">available on the OAS CAHPS </w:t>
      </w:r>
      <w:r w:rsidR="00642992">
        <w:t xml:space="preserve">website using this link, </w:t>
      </w:r>
    </w:p>
    <w:p w14:paraId="385C503E" w14:textId="7C8DAEC9" w:rsidR="00907FCD" w:rsidRDefault="00642992" w:rsidP="00907FCD">
      <w:pPr>
        <w:pStyle w:val="BodyText"/>
        <w:tabs>
          <w:tab w:val="left" w:pos="5127"/>
        </w:tabs>
        <w:spacing w:after="120"/>
        <w:ind w:left="864"/>
      </w:pPr>
      <w:hyperlink r:id="rId17" w:history="1">
        <w:r>
          <w:rPr>
            <w:rStyle w:val="Hyperlink"/>
          </w:rPr>
          <w:t>Participation Exemption Request</w:t>
        </w:r>
      </w:hyperlink>
      <w:r>
        <w:t xml:space="preserve"> </w:t>
      </w:r>
      <w:r w:rsidR="00907FCD" w:rsidRPr="00996676">
        <w:rPr>
          <w:sz w:val="24"/>
          <w:szCs w:val="24"/>
        </w:rPr>
        <w:t>beginning January 1,</w:t>
      </w:r>
      <w:r w:rsidR="00907FCD" w:rsidRPr="00996676">
        <w:rPr>
          <w:spacing w:val="-1"/>
          <w:sz w:val="24"/>
          <w:szCs w:val="24"/>
        </w:rPr>
        <w:t xml:space="preserve"> </w:t>
      </w:r>
      <w:r w:rsidR="00907FCD" w:rsidRPr="00996676">
        <w:rPr>
          <w:sz w:val="24"/>
          <w:szCs w:val="24"/>
        </w:rPr>
        <w:t>202</w:t>
      </w:r>
      <w:r w:rsidR="00E16AAC">
        <w:rPr>
          <w:sz w:val="24"/>
          <w:szCs w:val="24"/>
        </w:rPr>
        <w:t>5</w:t>
      </w:r>
      <w:r w:rsidR="00907FCD" w:rsidRPr="00996676">
        <w:rPr>
          <w:sz w:val="24"/>
          <w:szCs w:val="24"/>
        </w:rPr>
        <w:t>.</w:t>
      </w:r>
    </w:p>
    <w:p w14:paraId="487F1DCF" w14:textId="77777777" w:rsidR="00907FCD" w:rsidRPr="00996676" w:rsidRDefault="00907FCD" w:rsidP="00907FCD">
      <w:pPr>
        <w:pStyle w:val="ListParagraph"/>
        <w:widowControl w:val="0"/>
        <w:numPr>
          <w:ilvl w:val="0"/>
          <w:numId w:val="5"/>
        </w:numPr>
        <w:tabs>
          <w:tab w:val="left" w:pos="1888"/>
          <w:tab w:val="left" w:pos="9960"/>
        </w:tabs>
        <w:autoSpaceDE w:val="0"/>
        <w:autoSpaceDN w:val="0"/>
        <w:spacing w:line="240" w:lineRule="auto"/>
        <w:ind w:left="864"/>
        <w:contextualSpacing w:val="0"/>
        <w:rPr>
          <w:rStyle w:val="Hyperlink"/>
          <w:color w:val="auto"/>
          <w:sz w:val="28"/>
          <w:szCs w:val="24"/>
        </w:rPr>
      </w:pPr>
      <w:r>
        <w:t>Patient</w:t>
      </w:r>
      <w:r>
        <w:rPr>
          <w:spacing w:val="-3"/>
        </w:rPr>
        <w:t xml:space="preserve"> </w:t>
      </w:r>
      <w:r>
        <w:t>survey-eligible</w:t>
      </w:r>
      <w:r>
        <w:rPr>
          <w:spacing w:val="-4"/>
        </w:rPr>
        <w:t xml:space="preserve"> </w:t>
      </w:r>
      <w:r>
        <w:t>criteria</w:t>
      </w:r>
      <w:r>
        <w:rPr>
          <w:spacing w:val="-3"/>
        </w:rPr>
        <w:t xml:space="preserve"> </w:t>
      </w:r>
      <w:r>
        <w:t>are</w:t>
      </w:r>
      <w:r>
        <w:rPr>
          <w:spacing w:val="-4"/>
        </w:rPr>
        <w:t xml:space="preserve"> </w:t>
      </w:r>
      <w:r>
        <w:t>included</w:t>
      </w:r>
      <w:r>
        <w:rPr>
          <w:spacing w:val="-3"/>
        </w:rPr>
        <w:t xml:space="preserve"> </w:t>
      </w:r>
      <w:r>
        <w:t>in</w:t>
      </w:r>
      <w:r>
        <w:rPr>
          <w:spacing w:val="-2"/>
        </w:rPr>
        <w:t xml:space="preserve"> </w:t>
      </w:r>
      <w:r>
        <w:rPr>
          <w:b/>
          <w:i/>
        </w:rPr>
        <w:t>Chapter</w:t>
      </w:r>
      <w:r>
        <w:rPr>
          <w:b/>
          <w:i/>
          <w:spacing w:val="-4"/>
        </w:rPr>
        <w:t xml:space="preserve"> </w:t>
      </w:r>
      <w:r w:rsidRPr="00DD4B27">
        <w:rPr>
          <w:b/>
          <w:i/>
        </w:rPr>
        <w:t>IV</w:t>
      </w:r>
      <w:r>
        <w:rPr>
          <w:b/>
          <w:i/>
          <w:spacing w:val="-3"/>
        </w:rPr>
        <w:t xml:space="preserve"> </w:t>
      </w:r>
      <w:r>
        <w:t>of</w:t>
      </w:r>
      <w:r>
        <w:rPr>
          <w:spacing w:val="-3"/>
        </w:rPr>
        <w:t xml:space="preserve"> </w:t>
      </w:r>
      <w:r>
        <w:t>the</w:t>
      </w:r>
      <w:r>
        <w:rPr>
          <w:spacing w:val="-5"/>
        </w:rPr>
        <w:t xml:space="preserve"> </w:t>
      </w:r>
      <w:r>
        <w:rPr>
          <w:i/>
        </w:rPr>
        <w:t>OAS</w:t>
      </w:r>
      <w:r>
        <w:rPr>
          <w:i/>
          <w:spacing w:val="-3"/>
        </w:rPr>
        <w:t xml:space="preserve"> </w:t>
      </w:r>
      <w:r>
        <w:rPr>
          <w:i/>
        </w:rPr>
        <w:t>CAHPS</w:t>
      </w:r>
      <w:r>
        <w:rPr>
          <w:i/>
          <w:spacing w:val="-3"/>
        </w:rPr>
        <w:t xml:space="preserve"> </w:t>
      </w:r>
      <w:r>
        <w:rPr>
          <w:i/>
        </w:rPr>
        <w:t>Survey</w:t>
      </w:r>
      <w:r>
        <w:rPr>
          <w:i/>
          <w:spacing w:val="-4"/>
        </w:rPr>
        <w:t xml:space="preserve"> </w:t>
      </w:r>
      <w:r>
        <w:rPr>
          <w:i/>
        </w:rPr>
        <w:t>Protocols</w:t>
      </w:r>
      <w:r>
        <w:rPr>
          <w:i/>
          <w:spacing w:val="4"/>
        </w:rPr>
        <w:t xml:space="preserve"> </w:t>
      </w:r>
      <w:r>
        <w:rPr>
          <w:i/>
        </w:rPr>
        <w:t>and Guidelines</w:t>
      </w:r>
      <w:r>
        <w:rPr>
          <w:i/>
          <w:spacing w:val="-3"/>
        </w:rPr>
        <w:t xml:space="preserve"> </w:t>
      </w:r>
      <w:r>
        <w:rPr>
          <w:i/>
        </w:rPr>
        <w:t>Manual</w:t>
      </w:r>
      <w:r>
        <w:t>,</w:t>
      </w:r>
      <w:r>
        <w:rPr>
          <w:spacing w:val="-3"/>
        </w:rPr>
        <w:t xml:space="preserve"> </w:t>
      </w:r>
      <w:r>
        <w:t>which is available on the OAS CAHPS website</w:t>
      </w:r>
      <w:r>
        <w:rPr>
          <w:spacing w:val="-24"/>
        </w:rPr>
        <w:t xml:space="preserve"> </w:t>
      </w:r>
      <w:r>
        <w:t xml:space="preserve">at </w:t>
      </w:r>
      <w:hyperlink r:id="rId18" w:history="1">
        <w:r w:rsidRPr="00873FCA">
          <w:rPr>
            <w:rStyle w:val="Hyperlink"/>
            <w:szCs w:val="24"/>
          </w:rPr>
          <w:t>https://oascahps.org/Survey-Materials</w:t>
        </w:r>
      </w:hyperlink>
    </w:p>
    <w:p w14:paraId="4FA76C62" w14:textId="6CB37C6A" w:rsidR="00907FCD" w:rsidRPr="00996676" w:rsidRDefault="00907FCD" w:rsidP="00907FCD">
      <w:pPr>
        <w:pStyle w:val="ListParagraph"/>
        <w:widowControl w:val="0"/>
        <w:numPr>
          <w:ilvl w:val="0"/>
          <w:numId w:val="5"/>
        </w:numPr>
        <w:tabs>
          <w:tab w:val="left" w:pos="1888"/>
          <w:tab w:val="left" w:pos="9960"/>
        </w:tabs>
        <w:autoSpaceDE w:val="0"/>
        <w:autoSpaceDN w:val="0"/>
        <w:spacing w:before="60" w:line="240" w:lineRule="auto"/>
        <w:ind w:left="864"/>
        <w:contextualSpacing w:val="0"/>
        <w:rPr>
          <w:sz w:val="28"/>
          <w:szCs w:val="24"/>
        </w:rPr>
      </w:pPr>
      <w:r w:rsidRPr="00642992">
        <w:rPr>
          <w:rStyle w:val="Hyperlink"/>
          <w:color w:val="000000" w:themeColor="text1"/>
          <w:szCs w:val="24"/>
          <w:u w:val="none"/>
        </w:rPr>
        <w:t xml:space="preserve">ASCs should note that they may be exempt from participating in OAS CAHPS if they had </w:t>
      </w:r>
      <w:r w:rsidRPr="00F01224">
        <w:t xml:space="preserve">fewer than 240 </w:t>
      </w:r>
      <w:r w:rsidR="00E16AAC">
        <w:t>Fee-</w:t>
      </w:r>
      <w:r w:rsidR="00CF3D40">
        <w:t>f</w:t>
      </w:r>
      <w:r w:rsidR="00E16AAC">
        <w:t xml:space="preserve">or-Service </w:t>
      </w:r>
      <w:r w:rsidRPr="00F01224">
        <w:t>Medicare claims (Medicare primary and secondary payer</w:t>
      </w:r>
      <w:r w:rsidR="00CF3D40">
        <w:t>; Medicare Advantage claims are not included</w:t>
      </w:r>
      <w:r w:rsidRPr="00F01224">
        <w:t xml:space="preserve">) </w:t>
      </w:r>
      <w:r w:rsidRPr="006359D0">
        <w:t>in the year prior to the data collection year for the applicable payment determination</w:t>
      </w:r>
      <w:r>
        <w:t xml:space="preserve">. ASCs who qualify for this exemption do not need to submit an exemption request. </w:t>
      </w:r>
    </w:p>
    <w:sectPr w:rsidR="00907FCD" w:rsidRPr="00996676" w:rsidSect="00907FCD">
      <w:pgSz w:w="15840" w:h="12240" w:orient="landscape"/>
      <w:pgMar w:top="1296" w:right="1152"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77DD" w14:textId="77777777" w:rsidR="00907FCD" w:rsidRDefault="00907FCD" w:rsidP="00907FCD">
      <w:pPr>
        <w:spacing w:after="0" w:line="240" w:lineRule="auto"/>
      </w:pPr>
      <w:r>
        <w:separator/>
      </w:r>
    </w:p>
  </w:endnote>
  <w:endnote w:type="continuationSeparator" w:id="0">
    <w:p w14:paraId="0D8C45CB" w14:textId="77777777" w:rsidR="00907FCD" w:rsidRDefault="00907FCD" w:rsidP="0090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86580"/>
      <w:docPartObj>
        <w:docPartGallery w:val="Page Numbers (Bottom of Page)"/>
        <w:docPartUnique/>
      </w:docPartObj>
    </w:sdtPr>
    <w:sdtEndPr>
      <w:rPr>
        <w:noProof/>
      </w:rPr>
    </w:sdtEndPr>
    <w:sdtContent>
      <w:p w14:paraId="525C6522" w14:textId="77777777" w:rsidR="00907FCD" w:rsidRDefault="00907F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09F4B" w14:textId="77777777" w:rsidR="00907FCD" w:rsidRDefault="0090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AF8C" w14:textId="77777777" w:rsidR="00907FCD" w:rsidRDefault="00907FCD" w:rsidP="00907FCD">
      <w:pPr>
        <w:spacing w:after="0" w:line="240" w:lineRule="auto"/>
      </w:pPr>
      <w:r>
        <w:separator/>
      </w:r>
    </w:p>
  </w:footnote>
  <w:footnote w:type="continuationSeparator" w:id="0">
    <w:p w14:paraId="55693726" w14:textId="77777777" w:rsidR="00907FCD" w:rsidRDefault="00907FCD" w:rsidP="00907FCD">
      <w:pPr>
        <w:spacing w:after="0" w:line="240" w:lineRule="auto"/>
      </w:pPr>
      <w:r>
        <w:continuationSeparator/>
      </w:r>
    </w:p>
  </w:footnote>
  <w:footnote w:id="1">
    <w:p w14:paraId="2C53F9C5" w14:textId="3B5D1E30" w:rsidR="00907FCD" w:rsidRPr="00905653" w:rsidRDefault="00907FCD" w:rsidP="00907FCD">
      <w:pPr>
        <w:pStyle w:val="FootnoteText"/>
        <w:rPr>
          <w:rFonts w:ascii="Times New Roman" w:hAnsi="Times New Roman" w:cs="Times New Roman"/>
        </w:rPr>
      </w:pPr>
      <w:r w:rsidRPr="00905653">
        <w:rPr>
          <w:rStyle w:val="FootnoteReference"/>
          <w:rFonts w:ascii="Times New Roman" w:hAnsi="Times New Roman" w:cs="Times New Roman"/>
        </w:rPr>
        <w:footnoteRef/>
      </w:r>
      <w:r w:rsidRPr="00905653">
        <w:rPr>
          <w:rFonts w:ascii="Times New Roman" w:hAnsi="Times New Roman" w:cs="Times New Roman"/>
        </w:rPr>
        <w:t xml:space="preserve"> Current Procedural Terminology (CPT) is a registered trademark of the American Medical Association. CPT only copyright </w:t>
      </w:r>
      <w:r>
        <w:rPr>
          <w:rFonts w:ascii="Times New Roman" w:hAnsi="Times New Roman" w:cs="Times New Roman"/>
        </w:rPr>
        <w:t>202</w:t>
      </w:r>
      <w:r w:rsidR="00896297">
        <w:rPr>
          <w:rFonts w:ascii="Times New Roman" w:hAnsi="Times New Roman" w:cs="Times New Roman"/>
        </w:rPr>
        <w:t>5</w:t>
      </w:r>
      <w:r w:rsidRPr="00905653">
        <w:rPr>
          <w:rFonts w:ascii="Times New Roman" w:hAnsi="Times New Roman" w:cs="Times New Roman"/>
        </w:rPr>
        <w:t xml:space="preserve"> American Medical Association. All rights reserved.</w:t>
      </w:r>
    </w:p>
  </w:footnote>
  <w:footnote w:id="2">
    <w:p w14:paraId="2CA1B2FD" w14:textId="7E5BFD7D" w:rsidR="00907FCD" w:rsidRPr="00905653" w:rsidRDefault="00907FCD" w:rsidP="00907FCD">
      <w:pPr>
        <w:pStyle w:val="FootnoteText"/>
        <w:rPr>
          <w:rFonts w:ascii="Times New Roman" w:hAnsi="Times New Roman" w:cs="Times New Roman"/>
        </w:rPr>
      </w:pPr>
      <w:r w:rsidRPr="00905653">
        <w:rPr>
          <w:rStyle w:val="FootnoteReference"/>
          <w:rFonts w:ascii="Times New Roman" w:hAnsi="Times New Roman" w:cs="Times New Roman"/>
        </w:rPr>
        <w:footnoteRef/>
      </w:r>
      <w:r w:rsidRPr="00905653">
        <w:rPr>
          <w:rFonts w:ascii="Times New Roman" w:hAnsi="Times New Roman" w:cs="Times New Roman"/>
        </w:rPr>
        <w:t xml:space="preserve"> CPT only copyright </w:t>
      </w:r>
      <w:r>
        <w:rPr>
          <w:rFonts w:ascii="Times New Roman" w:hAnsi="Times New Roman" w:cs="Times New Roman"/>
        </w:rPr>
        <w:t>202</w:t>
      </w:r>
      <w:r w:rsidR="00896297">
        <w:rPr>
          <w:rFonts w:ascii="Times New Roman" w:hAnsi="Times New Roman" w:cs="Times New Roman"/>
        </w:rPr>
        <w:t>5</w:t>
      </w:r>
      <w:r w:rsidRPr="00905653">
        <w:rPr>
          <w:rFonts w:ascii="Times New Roman" w:hAnsi="Times New Roman" w:cs="Times New Roman"/>
        </w:rPr>
        <w:t xml:space="preserve"> American Medical Association. All rights reserved.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02A14E6"/>
    <w:lvl w:ilvl="0">
      <w:start w:val="1"/>
      <w:numFmt w:val="decimal"/>
      <w:pStyle w:val="ListBullet2"/>
      <w:lvlText w:val="%1."/>
      <w:lvlJc w:val="left"/>
      <w:pPr>
        <w:ind w:left="720" w:hanging="360"/>
      </w:pPr>
      <w:rPr>
        <w:rFonts w:hint="default"/>
      </w:rPr>
    </w:lvl>
  </w:abstractNum>
  <w:abstractNum w:abstractNumId="1" w15:restartNumberingAfterBreak="0">
    <w:nsid w:val="3D495FFD"/>
    <w:multiLevelType w:val="hybridMultilevel"/>
    <w:tmpl w:val="63DA3B04"/>
    <w:lvl w:ilvl="0" w:tplc="70607456">
      <w:start w:val="1"/>
      <w:numFmt w:val="decimal"/>
      <w:lvlText w:val="%1."/>
      <w:lvlJc w:val="left"/>
      <w:pPr>
        <w:ind w:left="1887" w:hanging="360"/>
      </w:pPr>
      <w:rPr>
        <w:rFonts w:ascii="Times New Roman" w:eastAsia="Times New Roman" w:hAnsi="Times New Roman" w:cs="Times New Roman" w:hint="default"/>
        <w:spacing w:val="-3"/>
        <w:w w:val="100"/>
        <w:sz w:val="24"/>
        <w:szCs w:val="24"/>
        <w:lang w:val="en-US" w:eastAsia="en-US" w:bidi="en-US"/>
      </w:rPr>
    </w:lvl>
    <w:lvl w:ilvl="1" w:tplc="A4283DB2">
      <w:numFmt w:val="bullet"/>
      <w:lvlText w:val="•"/>
      <w:lvlJc w:val="left"/>
      <w:pPr>
        <w:ind w:left="3270" w:hanging="360"/>
      </w:pPr>
      <w:rPr>
        <w:rFonts w:hint="default"/>
        <w:lang w:val="en-US" w:eastAsia="en-US" w:bidi="en-US"/>
      </w:rPr>
    </w:lvl>
    <w:lvl w:ilvl="2" w:tplc="58F2B05E">
      <w:numFmt w:val="bullet"/>
      <w:lvlText w:val="•"/>
      <w:lvlJc w:val="left"/>
      <w:pPr>
        <w:ind w:left="4660" w:hanging="360"/>
      </w:pPr>
      <w:rPr>
        <w:rFonts w:hint="default"/>
        <w:lang w:val="en-US" w:eastAsia="en-US" w:bidi="en-US"/>
      </w:rPr>
    </w:lvl>
    <w:lvl w:ilvl="3" w:tplc="873C7900">
      <w:numFmt w:val="bullet"/>
      <w:lvlText w:val="•"/>
      <w:lvlJc w:val="left"/>
      <w:pPr>
        <w:ind w:left="6050" w:hanging="360"/>
      </w:pPr>
      <w:rPr>
        <w:rFonts w:hint="default"/>
        <w:lang w:val="en-US" w:eastAsia="en-US" w:bidi="en-US"/>
      </w:rPr>
    </w:lvl>
    <w:lvl w:ilvl="4" w:tplc="6A9A024C">
      <w:numFmt w:val="bullet"/>
      <w:lvlText w:val="•"/>
      <w:lvlJc w:val="left"/>
      <w:pPr>
        <w:ind w:left="7440" w:hanging="360"/>
      </w:pPr>
      <w:rPr>
        <w:rFonts w:hint="default"/>
        <w:lang w:val="en-US" w:eastAsia="en-US" w:bidi="en-US"/>
      </w:rPr>
    </w:lvl>
    <w:lvl w:ilvl="5" w:tplc="97065A04">
      <w:numFmt w:val="bullet"/>
      <w:lvlText w:val="•"/>
      <w:lvlJc w:val="left"/>
      <w:pPr>
        <w:ind w:left="8830" w:hanging="360"/>
      </w:pPr>
      <w:rPr>
        <w:rFonts w:hint="default"/>
        <w:lang w:val="en-US" w:eastAsia="en-US" w:bidi="en-US"/>
      </w:rPr>
    </w:lvl>
    <w:lvl w:ilvl="6" w:tplc="E86E6A6A">
      <w:numFmt w:val="bullet"/>
      <w:lvlText w:val="•"/>
      <w:lvlJc w:val="left"/>
      <w:pPr>
        <w:ind w:left="10220" w:hanging="360"/>
      </w:pPr>
      <w:rPr>
        <w:rFonts w:hint="default"/>
        <w:lang w:val="en-US" w:eastAsia="en-US" w:bidi="en-US"/>
      </w:rPr>
    </w:lvl>
    <w:lvl w:ilvl="7" w:tplc="E1E01218">
      <w:numFmt w:val="bullet"/>
      <w:lvlText w:val="•"/>
      <w:lvlJc w:val="left"/>
      <w:pPr>
        <w:ind w:left="11610" w:hanging="360"/>
      </w:pPr>
      <w:rPr>
        <w:rFonts w:hint="default"/>
        <w:lang w:val="en-US" w:eastAsia="en-US" w:bidi="en-US"/>
      </w:rPr>
    </w:lvl>
    <w:lvl w:ilvl="8" w:tplc="77569C0E">
      <w:numFmt w:val="bullet"/>
      <w:lvlText w:val="•"/>
      <w:lvlJc w:val="left"/>
      <w:pPr>
        <w:ind w:left="13000" w:hanging="360"/>
      </w:pPr>
      <w:rPr>
        <w:rFonts w:hint="default"/>
        <w:lang w:val="en-US" w:eastAsia="en-US" w:bidi="en-US"/>
      </w:rPr>
    </w:lvl>
  </w:abstractNum>
  <w:abstractNum w:abstractNumId="2" w15:restartNumberingAfterBreak="0">
    <w:nsid w:val="3D6C16C3"/>
    <w:multiLevelType w:val="hybridMultilevel"/>
    <w:tmpl w:val="D63E80D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70680A64"/>
    <w:multiLevelType w:val="hybridMultilevel"/>
    <w:tmpl w:val="38348D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FA73B6"/>
    <w:multiLevelType w:val="hybridMultilevel"/>
    <w:tmpl w:val="12A2369E"/>
    <w:lvl w:ilvl="0" w:tplc="8A6CC5D6">
      <w:start w:val="1"/>
      <w:numFmt w:val="bullet"/>
      <w:pStyle w:val="ListBullet"/>
      <w:lvlText w:val="•"/>
      <w:lvlJc w:val="left"/>
      <w:pPr>
        <w:ind w:left="9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E6D9D"/>
    <w:multiLevelType w:val="hybridMultilevel"/>
    <w:tmpl w:val="D87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473343">
    <w:abstractNumId w:val="4"/>
  </w:num>
  <w:num w:numId="2" w16cid:durableId="1001200520">
    <w:abstractNumId w:val="0"/>
  </w:num>
  <w:num w:numId="3" w16cid:durableId="1484009822">
    <w:abstractNumId w:val="5"/>
  </w:num>
  <w:num w:numId="4" w16cid:durableId="373431125">
    <w:abstractNumId w:val="3"/>
  </w:num>
  <w:num w:numId="5" w16cid:durableId="2112238458">
    <w:abstractNumId w:val="1"/>
  </w:num>
  <w:num w:numId="6" w16cid:durableId="92322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DE"/>
    <w:rsid w:val="00006378"/>
    <w:rsid w:val="00124A8D"/>
    <w:rsid w:val="00147096"/>
    <w:rsid w:val="00175CE9"/>
    <w:rsid w:val="002571A0"/>
    <w:rsid w:val="00292B87"/>
    <w:rsid w:val="003402AD"/>
    <w:rsid w:val="00571156"/>
    <w:rsid w:val="005A0E13"/>
    <w:rsid w:val="00642992"/>
    <w:rsid w:val="00896297"/>
    <w:rsid w:val="00907FCD"/>
    <w:rsid w:val="00933C7B"/>
    <w:rsid w:val="009D22CC"/>
    <w:rsid w:val="00A77D77"/>
    <w:rsid w:val="00BD706D"/>
    <w:rsid w:val="00CF3D40"/>
    <w:rsid w:val="00D171D5"/>
    <w:rsid w:val="00D703DE"/>
    <w:rsid w:val="00E1272F"/>
    <w:rsid w:val="00E16AAC"/>
    <w:rsid w:val="00F1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58EE"/>
  <w15:chartTrackingRefBased/>
  <w15:docId w15:val="{22721397-063C-4F32-AC57-93924030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CD"/>
    <w:rPr>
      <w:kern w:val="0"/>
      <w14:ligatures w14:val="none"/>
    </w:rPr>
  </w:style>
  <w:style w:type="paragraph" w:styleId="Heading1">
    <w:name w:val="heading 1"/>
    <w:basedOn w:val="Normal"/>
    <w:next w:val="Normal"/>
    <w:link w:val="Heading1Char"/>
    <w:uiPriority w:val="9"/>
    <w:qFormat/>
    <w:rsid w:val="00907FCD"/>
    <w:pPr>
      <w:keepNext/>
      <w:spacing w:after="240" w:line="240" w:lineRule="auto"/>
      <w:contextualSpacing/>
      <w:jc w:val="center"/>
      <w:outlineLvl w:val="0"/>
    </w:pPr>
    <w:rPr>
      <w:rFonts w:ascii="Times New Roman" w:eastAsia="Times New Roman" w:hAnsi="Times New Roman" w:cs="Times New Roman"/>
      <w:b/>
      <w:bCs/>
      <w:smallCaps/>
      <w:kern w:val="32"/>
      <w:sz w:val="28"/>
      <w:szCs w:val="28"/>
      <w:lang w:val="x-none" w:eastAsia="x-none"/>
    </w:rPr>
  </w:style>
  <w:style w:type="paragraph" w:styleId="Heading2">
    <w:name w:val="heading 2"/>
    <w:basedOn w:val="Normal"/>
    <w:next w:val="Normal"/>
    <w:link w:val="Heading2Char"/>
    <w:qFormat/>
    <w:rsid w:val="00907FCD"/>
    <w:pPr>
      <w:keepNext/>
      <w:keepLines/>
      <w:autoSpaceDE w:val="0"/>
      <w:autoSpaceDN w:val="0"/>
      <w:adjustRightInd w:val="0"/>
      <w:spacing w:before="240" w:after="120" w:line="240" w:lineRule="auto"/>
      <w:outlineLvl w:val="1"/>
    </w:pPr>
    <w:rPr>
      <w:rFonts w:ascii="Times New Roman" w:eastAsia="Times New Roman" w:hAnsi="Times New Roman" w:cs="Times New Roman"/>
      <w:b/>
      <w:bCs/>
      <w:color w:val="000000"/>
    </w:rPr>
  </w:style>
  <w:style w:type="paragraph" w:styleId="Heading4">
    <w:name w:val="heading 4"/>
    <w:basedOn w:val="Normal"/>
    <w:next w:val="Normal"/>
    <w:link w:val="Heading4Char"/>
    <w:uiPriority w:val="9"/>
    <w:unhideWhenUsed/>
    <w:qFormat/>
    <w:rsid w:val="00907F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FCD"/>
    <w:rPr>
      <w:rFonts w:ascii="Times New Roman" w:eastAsia="Times New Roman" w:hAnsi="Times New Roman" w:cs="Times New Roman"/>
      <w:b/>
      <w:bCs/>
      <w:smallCaps/>
      <w:kern w:val="32"/>
      <w:sz w:val="28"/>
      <w:szCs w:val="28"/>
      <w:lang w:val="x-none" w:eastAsia="x-none"/>
      <w14:ligatures w14:val="none"/>
    </w:rPr>
  </w:style>
  <w:style w:type="character" w:customStyle="1" w:styleId="Heading2Char">
    <w:name w:val="Heading 2 Char"/>
    <w:basedOn w:val="DefaultParagraphFont"/>
    <w:link w:val="Heading2"/>
    <w:rsid w:val="00907FCD"/>
    <w:rPr>
      <w:rFonts w:ascii="Times New Roman" w:eastAsia="Times New Roman" w:hAnsi="Times New Roman" w:cs="Times New Roman"/>
      <w:b/>
      <w:bCs/>
      <w:color w:val="000000"/>
      <w:kern w:val="0"/>
      <w14:ligatures w14:val="none"/>
    </w:rPr>
  </w:style>
  <w:style w:type="character" w:customStyle="1" w:styleId="Heading4Char">
    <w:name w:val="Heading 4 Char"/>
    <w:basedOn w:val="DefaultParagraphFont"/>
    <w:link w:val="Heading4"/>
    <w:uiPriority w:val="9"/>
    <w:rsid w:val="00907FCD"/>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rsid w:val="00907FCD"/>
    <w:rPr>
      <w:color w:val="1F419A"/>
      <w:u w:val="single"/>
    </w:rPr>
  </w:style>
  <w:style w:type="paragraph" w:styleId="BodyText">
    <w:name w:val="Body Text"/>
    <w:basedOn w:val="Normal"/>
    <w:link w:val="BodyTextChar"/>
    <w:uiPriority w:val="99"/>
    <w:rsid w:val="00907FCD"/>
    <w:pPr>
      <w:spacing w:after="240" w:line="280" w:lineRule="atLeast"/>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uiPriority w:val="99"/>
    <w:rsid w:val="00907FCD"/>
    <w:rPr>
      <w:rFonts w:ascii="Times New Roman" w:eastAsia="Times New Roman" w:hAnsi="Times New Roman" w:cs="Times New Roman"/>
      <w:kern w:val="0"/>
      <w:szCs w:val="20"/>
      <w:lang w:val="x-none" w:eastAsia="x-none"/>
      <w14:ligatures w14:val="none"/>
    </w:rPr>
  </w:style>
  <w:style w:type="paragraph" w:styleId="ListBullet">
    <w:name w:val="List Bullet"/>
    <w:basedOn w:val="Normal"/>
    <w:uiPriority w:val="99"/>
    <w:rsid w:val="00907FCD"/>
    <w:pPr>
      <w:numPr>
        <w:numId w:val="1"/>
      </w:numPr>
      <w:spacing w:after="120" w:line="260" w:lineRule="atLeast"/>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907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CD"/>
    <w:rPr>
      <w:kern w:val="0"/>
      <w:sz w:val="20"/>
      <w:szCs w:val="20"/>
      <w14:ligatures w14:val="none"/>
    </w:rPr>
  </w:style>
  <w:style w:type="character" w:styleId="FootnoteReference">
    <w:name w:val="footnote reference"/>
    <w:basedOn w:val="DefaultParagraphFont"/>
    <w:uiPriority w:val="99"/>
    <w:semiHidden/>
    <w:unhideWhenUsed/>
    <w:rsid w:val="00907FCD"/>
    <w:rPr>
      <w:vertAlign w:val="superscript"/>
    </w:rPr>
  </w:style>
  <w:style w:type="paragraph" w:styleId="ListBullet2">
    <w:name w:val="List Bullet 2"/>
    <w:basedOn w:val="Normal"/>
    <w:uiPriority w:val="99"/>
    <w:unhideWhenUsed/>
    <w:rsid w:val="00907FCD"/>
    <w:pPr>
      <w:numPr>
        <w:numId w:val="2"/>
      </w:numPr>
      <w:spacing w:after="120" w:line="260" w:lineRule="atLeast"/>
      <w:ind w:left="0" w:firstLine="0"/>
    </w:pPr>
    <w:rPr>
      <w:rFonts w:ascii="Times New Roman" w:hAnsi="Times New Roman"/>
    </w:rPr>
  </w:style>
  <w:style w:type="paragraph" w:styleId="ListParagraph">
    <w:name w:val="List Paragraph"/>
    <w:basedOn w:val="Normal"/>
    <w:uiPriority w:val="1"/>
    <w:qFormat/>
    <w:rsid w:val="00907FCD"/>
    <w:pPr>
      <w:spacing w:after="0" w:line="320" w:lineRule="atLeast"/>
      <w:ind w:left="720"/>
      <w:contextualSpacing/>
    </w:pPr>
    <w:rPr>
      <w:rFonts w:ascii="Times New Roman" w:eastAsia="Batang" w:hAnsi="Times New Roman" w:cs="Times New Roman"/>
      <w:sz w:val="24"/>
      <w:szCs w:val="20"/>
    </w:rPr>
  </w:style>
  <w:style w:type="paragraph" w:styleId="Footer">
    <w:name w:val="footer"/>
    <w:basedOn w:val="Normal"/>
    <w:link w:val="FooterChar"/>
    <w:uiPriority w:val="99"/>
    <w:unhideWhenUsed/>
    <w:rsid w:val="00907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CD"/>
    <w:rPr>
      <w:kern w:val="0"/>
      <w14:ligatures w14:val="none"/>
    </w:rPr>
  </w:style>
  <w:style w:type="character" w:customStyle="1" w:styleId="cf01">
    <w:name w:val="cf01"/>
    <w:basedOn w:val="DefaultParagraphFont"/>
    <w:rsid w:val="00907FCD"/>
    <w:rPr>
      <w:rFonts w:ascii="Segoe UI" w:hAnsi="Segoe UI" w:cs="Segoe UI" w:hint="default"/>
      <w:sz w:val="18"/>
      <w:szCs w:val="18"/>
    </w:rPr>
  </w:style>
  <w:style w:type="paragraph" w:customStyle="1" w:styleId="TableParagraph">
    <w:name w:val="Table Paragraph"/>
    <w:basedOn w:val="Normal"/>
    <w:uiPriority w:val="1"/>
    <w:qFormat/>
    <w:rsid w:val="00907FCD"/>
    <w:pPr>
      <w:widowControl w:val="0"/>
      <w:autoSpaceDE w:val="0"/>
      <w:autoSpaceDN w:val="0"/>
      <w:spacing w:after="0" w:line="240" w:lineRule="auto"/>
    </w:pPr>
    <w:rPr>
      <w:rFonts w:ascii="Times New Roman" w:eastAsia="Times New Roman" w:hAnsi="Times New Roman" w:cs="Times New Roman"/>
      <w:lang w:bidi="en-US"/>
    </w:rPr>
  </w:style>
  <w:style w:type="paragraph" w:styleId="Revision">
    <w:name w:val="Revision"/>
    <w:hidden/>
    <w:uiPriority w:val="99"/>
    <w:semiHidden/>
    <w:rsid w:val="00907FCD"/>
    <w:pPr>
      <w:spacing w:after="0" w:line="240" w:lineRule="auto"/>
    </w:pPr>
    <w:rPr>
      <w:kern w:val="0"/>
      <w14:ligatures w14:val="none"/>
    </w:rPr>
  </w:style>
  <w:style w:type="character" w:styleId="FollowedHyperlink">
    <w:name w:val="FollowedHyperlink"/>
    <w:basedOn w:val="DefaultParagraphFont"/>
    <w:uiPriority w:val="99"/>
    <w:semiHidden/>
    <w:unhideWhenUsed/>
    <w:rsid w:val="009D22CC"/>
    <w:rPr>
      <w:color w:val="954F72" w:themeColor="followedHyperlink"/>
      <w:u w:val="single"/>
    </w:rPr>
  </w:style>
  <w:style w:type="character" w:styleId="CommentReference">
    <w:name w:val="annotation reference"/>
    <w:basedOn w:val="DefaultParagraphFont"/>
    <w:uiPriority w:val="99"/>
    <w:semiHidden/>
    <w:unhideWhenUsed/>
    <w:rsid w:val="009D22CC"/>
    <w:rPr>
      <w:sz w:val="16"/>
      <w:szCs w:val="16"/>
    </w:rPr>
  </w:style>
  <w:style w:type="paragraph" w:styleId="CommentText">
    <w:name w:val="annotation text"/>
    <w:basedOn w:val="Normal"/>
    <w:link w:val="CommentTextChar"/>
    <w:uiPriority w:val="99"/>
    <w:unhideWhenUsed/>
    <w:rsid w:val="009D22CC"/>
    <w:pPr>
      <w:spacing w:line="240" w:lineRule="auto"/>
    </w:pPr>
    <w:rPr>
      <w:sz w:val="20"/>
      <w:szCs w:val="20"/>
    </w:rPr>
  </w:style>
  <w:style w:type="character" w:customStyle="1" w:styleId="CommentTextChar">
    <w:name w:val="Comment Text Char"/>
    <w:basedOn w:val="DefaultParagraphFont"/>
    <w:link w:val="CommentText"/>
    <w:uiPriority w:val="99"/>
    <w:rsid w:val="009D22C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22CC"/>
    <w:rPr>
      <w:b/>
      <w:bCs/>
    </w:rPr>
  </w:style>
  <w:style w:type="character" w:customStyle="1" w:styleId="CommentSubjectChar">
    <w:name w:val="Comment Subject Char"/>
    <w:basedOn w:val="CommentTextChar"/>
    <w:link w:val="CommentSubject"/>
    <w:uiPriority w:val="99"/>
    <w:semiHidden/>
    <w:rsid w:val="009D22C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scahps.org/General-Information/Approved-Survey-Vendors" TargetMode="External"/><Relationship Id="rId13" Type="http://schemas.openxmlformats.org/officeDocument/2006/relationships/image" Target="media/image2.svg"/><Relationship Id="rId18" Type="http://schemas.openxmlformats.org/officeDocument/2006/relationships/hyperlink" Target="https://oascahps.org/Survey-Materials" TargetMode="External"/><Relationship Id="rId3" Type="http://schemas.openxmlformats.org/officeDocument/2006/relationships/settings" Target="settings.xml"/><Relationship Id="rId7" Type="http://schemas.openxmlformats.org/officeDocument/2006/relationships/hyperlink" Target="https://oascahps.org/Survey-Materials" TargetMode="External"/><Relationship Id="rId12" Type="http://schemas.openxmlformats.org/officeDocument/2006/relationships/image" Target="media/image1.png"/><Relationship Id="rId17" Type="http://schemas.openxmlformats.org/officeDocument/2006/relationships/hyperlink" Target="https://oascahps.org/For-Facilities/Participation-Exemption-Request"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scahps.org/OAS_CY2025FinalRule.pdf" TargetMode="External"/><Relationship Id="rId5" Type="http://schemas.openxmlformats.org/officeDocument/2006/relationships/footnotes" Target="footnotes.xml"/><Relationship Id="rId15" Type="http://schemas.openxmlformats.org/officeDocument/2006/relationships/hyperlink" Target="mailto:oascahps@rti.org" TargetMode="External"/><Relationship Id="rId10" Type="http://schemas.openxmlformats.org/officeDocument/2006/relationships/hyperlink" Target="https://www.medicare.gov/care-compa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cms.gov/provider-data/" TargetMode="External"/><Relationship Id="rId14" Type="http://schemas.openxmlformats.org/officeDocument/2006/relationships/hyperlink" Target="https://oascahps.org/For-Facilities/Participation-Exemp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 Areeba</dc:creator>
  <cp:keywords/>
  <dc:description/>
  <cp:lastModifiedBy>Kinyara, Elizabeth</cp:lastModifiedBy>
  <cp:revision>4</cp:revision>
  <dcterms:created xsi:type="dcterms:W3CDTF">2025-01-21T16:20:00Z</dcterms:created>
  <dcterms:modified xsi:type="dcterms:W3CDTF">2025-01-21T16:28:00Z</dcterms:modified>
</cp:coreProperties>
</file>